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b/>
          <w:bCs/>
          <w:sz w:val="24"/>
          <w:szCs w:val="24"/>
          <w:lang w:eastAsia="ru-RU"/>
        </w:rPr>
        <w:t>ИНФОРМАЦИЯ</w:t>
      </w:r>
      <w:r w:rsidRPr="001735EC">
        <w:rPr>
          <w:rFonts w:ascii="Times New Roman" w:eastAsia="Times New Roman" w:hAnsi="Times New Roman" w:cs="Times New Roman"/>
          <w:b/>
          <w:bCs/>
          <w:sz w:val="24"/>
          <w:szCs w:val="24"/>
          <w:lang w:eastAsia="ru-RU"/>
        </w:rPr>
        <w:br/>
        <w:t>О СОЦИАЛЬНО-ЭКОНОМИЧЕСКОМ РАЗВИТИИ</w:t>
      </w:r>
      <w:r w:rsidRPr="001735EC">
        <w:rPr>
          <w:rFonts w:ascii="Times New Roman" w:eastAsia="Times New Roman" w:hAnsi="Times New Roman" w:cs="Times New Roman"/>
          <w:b/>
          <w:bCs/>
          <w:sz w:val="24"/>
          <w:szCs w:val="24"/>
          <w:lang w:eastAsia="ru-RU"/>
        </w:rPr>
        <w:br/>
        <w:t>МУНИЦИПАЛЬНОГО ОБРАЗОВАНИЯ ГОРОД КОГАЛЫМ</w:t>
      </w:r>
      <w:r w:rsidRPr="001735EC">
        <w:rPr>
          <w:rFonts w:ascii="Times New Roman" w:eastAsia="Times New Roman" w:hAnsi="Times New Roman" w:cs="Times New Roman"/>
          <w:b/>
          <w:bCs/>
          <w:sz w:val="24"/>
          <w:szCs w:val="24"/>
          <w:lang w:eastAsia="ru-RU"/>
        </w:rPr>
        <w:br/>
        <w:t>за 1 квартал 2010 года</w:t>
      </w:r>
      <w:r w:rsidRPr="001735EC">
        <w:rPr>
          <w:rFonts w:ascii="Times New Roman" w:eastAsia="Times New Roman" w:hAnsi="Times New Roman" w:cs="Times New Roman"/>
          <w:sz w:val="24"/>
          <w:szCs w:val="24"/>
          <w:lang w:eastAsia="ru-RU"/>
        </w:rPr>
        <w:t xml:space="preserve">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     Оценка социально - экономического развития города за 1 квартал 2010 года произведена на основе предварительной статистической информации по состоянию на конец отчетного периода.</w:t>
      </w:r>
      <w:r w:rsidRPr="001735EC">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жилищно-коммунального хозяйства.</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 xml:space="preserve">ДЕМОГРАФИЧЕСКАЯ СИТУАЦИЯ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За январь - март 2010 года среднегодовая численность постоянного населения города Когалыма увеличилась по сравнению с аналогичным периодом 2009 года на 0,3 % и составила 59, 6 тыс. человек.</w:t>
      </w:r>
      <w:r w:rsidRPr="001735EC">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январь - март 2010 года родилось 258 младенца, что на 20 человек больше (или на 8,4%), чем за соответствующий период прошлого года. Общий коэффициент рождаемости увеличился с 4,0 до 4,3  промилле.</w:t>
      </w:r>
      <w:r w:rsidRPr="001735EC">
        <w:rPr>
          <w:rFonts w:ascii="Times New Roman" w:eastAsia="Times New Roman" w:hAnsi="Times New Roman" w:cs="Times New Roman"/>
          <w:sz w:val="24"/>
          <w:szCs w:val="24"/>
          <w:lang w:eastAsia="ru-RU"/>
        </w:rPr>
        <w:br/>
        <w:t>     По сравнению с аналогичным периодом 2009 года число умерших увеличилось на 17 человек (с 53 до 70 человек). Коэффициент естественной убыли населения увеличился с 0,9 до 1,2 промилле.</w:t>
      </w:r>
      <w:r w:rsidRPr="001735EC">
        <w:rPr>
          <w:rFonts w:ascii="Times New Roman" w:eastAsia="Times New Roman" w:hAnsi="Times New Roman" w:cs="Times New Roman"/>
          <w:sz w:val="24"/>
          <w:szCs w:val="24"/>
          <w:lang w:eastAsia="ru-RU"/>
        </w:rPr>
        <w:br/>
        <w:t>     Уровень естественного прироста населения города повысился на 0,1 промилле и составил 3,2 промилле.</w:t>
      </w:r>
      <w:r w:rsidRPr="001735EC">
        <w:rPr>
          <w:rFonts w:ascii="Times New Roman" w:eastAsia="Times New Roman" w:hAnsi="Times New Roman" w:cs="Times New Roman"/>
          <w:sz w:val="24"/>
          <w:szCs w:val="24"/>
          <w:lang w:eastAsia="ru-RU"/>
        </w:rPr>
        <w:br/>
        <w:t>     Преобладание рождаемости над смертностью в 3,7 раза обеспечило прирост населения на 188 человек, что на 1,6% больше, чем за соответствующий период 2009 года.</w:t>
      </w:r>
      <w:r w:rsidRPr="001735EC">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1735EC">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1735EC">
        <w:rPr>
          <w:rFonts w:ascii="Times New Roman" w:eastAsia="Times New Roman" w:hAnsi="Times New Roman" w:cs="Times New Roman"/>
          <w:sz w:val="24"/>
          <w:szCs w:val="24"/>
          <w:lang w:eastAsia="ru-RU"/>
        </w:rPr>
        <w:br/>
        <w:t>     Тенденция миграционной динамики населения в январе - марте 2010 года характеризуется аналогичным соответствующему периоду прошлого года результатом (отрицательное сальдо).</w:t>
      </w:r>
      <w:r w:rsidRPr="001735EC">
        <w:rPr>
          <w:rFonts w:ascii="Times New Roman" w:eastAsia="Times New Roman" w:hAnsi="Times New Roman" w:cs="Times New Roman"/>
          <w:sz w:val="24"/>
          <w:szCs w:val="24"/>
          <w:lang w:eastAsia="ru-RU"/>
        </w:rPr>
        <w:br/>
        <w:t>     Количество прибывших граждан увеличилось на 0,3% и составило 368 человек, число выбывших из города увеличилось на 12,5%, или  431 человека.</w:t>
      </w:r>
      <w:r w:rsidRPr="001735EC">
        <w:rPr>
          <w:rFonts w:ascii="Times New Roman" w:eastAsia="Times New Roman" w:hAnsi="Times New Roman" w:cs="Times New Roman"/>
          <w:sz w:val="24"/>
          <w:szCs w:val="24"/>
          <w:lang w:eastAsia="ru-RU"/>
        </w:rPr>
        <w:br/>
        <w:t>     Всего в миграционный оборот было вовлечено 799 человек, или 1,3% от общей численности населения города, в январе - марте 2009 года эти показатели составили 750 и 1,3% от общей численности населения.</w:t>
      </w:r>
      <w:r w:rsidRPr="001735EC">
        <w:rPr>
          <w:rFonts w:ascii="Times New Roman" w:eastAsia="Times New Roman" w:hAnsi="Times New Roman" w:cs="Times New Roman"/>
          <w:sz w:val="24"/>
          <w:szCs w:val="24"/>
          <w:lang w:eastAsia="ru-RU"/>
        </w:rPr>
        <w:br/>
        <w:t>     Всего за январь - март 2010 года миграционное движение сократило численность жителей на 63 человека, что в 4 раза больше чем за соответствующий период 2009 года.</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br/>
      </w:r>
      <w:r w:rsidRPr="001735EC">
        <w:rPr>
          <w:rFonts w:ascii="Times New Roman" w:eastAsia="Times New Roman" w:hAnsi="Times New Roman" w:cs="Times New Roman"/>
          <w:noProof/>
          <w:sz w:val="24"/>
          <w:szCs w:val="24"/>
          <w:lang w:eastAsia="ru-RU"/>
        </w:rPr>
        <w:drawing>
          <wp:inline distT="0" distB="0" distL="0" distR="0">
            <wp:extent cx="5928360" cy="3398520"/>
            <wp:effectExtent l="0" t="0" r="0" b="0"/>
            <wp:docPr id="4" name="Рисунок 4" descr="http://old.admkogalym.ru/SetPict.gif?nd=458202900&amp;nh=0&amp;pictid=0100000004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2900&amp;nh=0&amp;pictid=0100000004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360" cy="3398520"/>
                    </a:xfrm>
                    <a:prstGeom prst="rect">
                      <a:avLst/>
                    </a:prstGeom>
                    <a:noFill/>
                    <a:ln>
                      <a:noFill/>
                    </a:ln>
                  </pic:spPr>
                </pic:pic>
              </a:graphicData>
            </a:graphic>
          </wp:inline>
        </w:drawing>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ПРОМЫШЛЕННОСТЬ</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В январе - марте 2010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10,9 млрд. рублей. </w:t>
      </w:r>
      <w:r w:rsidRPr="001735EC">
        <w:rPr>
          <w:rFonts w:ascii="Times New Roman" w:eastAsia="Times New Roman" w:hAnsi="Times New Roman" w:cs="Times New Roman"/>
          <w:sz w:val="24"/>
          <w:szCs w:val="24"/>
          <w:lang w:eastAsia="ru-RU"/>
        </w:rPr>
        <w:br/>
        <w:t>     Структура промышленного производства города сложилась следующим образом (на основании данных органов госстатистики):</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329"/>
        <w:gridCol w:w="1240"/>
        <w:gridCol w:w="774"/>
        <w:gridCol w:w="124"/>
        <w:gridCol w:w="1148"/>
        <w:gridCol w:w="977"/>
      </w:tblGrid>
      <w:tr w:rsidR="001735EC" w:rsidRPr="001735EC" w:rsidTr="001735E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3"/>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2009 год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2010 год </w:t>
            </w:r>
          </w:p>
        </w:tc>
      </w:tr>
      <w:tr w:rsidR="001735EC" w:rsidRPr="001735EC" w:rsidTr="001735E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after="0"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w:t>
            </w:r>
          </w:p>
        </w:tc>
      </w:tr>
      <w:tr w:rsidR="001735EC" w:rsidRPr="001735EC" w:rsidTr="001735E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7 764,2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70,1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7 782,3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71,3 </w:t>
            </w:r>
          </w:p>
        </w:tc>
      </w:tr>
      <w:tr w:rsidR="001735EC" w:rsidRPr="001735EC" w:rsidTr="001735E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Обрабатывающие производства </w:t>
            </w:r>
          </w:p>
        </w:tc>
        <w:tc>
          <w:tcPr>
            <w:tcW w:w="6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617,5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5,6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996,3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9,1 </w:t>
            </w:r>
          </w:p>
        </w:tc>
      </w:tr>
      <w:tr w:rsidR="001735EC" w:rsidRPr="001735EC" w:rsidTr="001735E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2 687,2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24,3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2 139,8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19,6 </w:t>
            </w:r>
          </w:p>
        </w:tc>
      </w:tr>
      <w:tr w:rsidR="001735EC" w:rsidRPr="001735EC" w:rsidTr="001735EC">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ИТОГО </w:t>
            </w:r>
          </w:p>
        </w:tc>
        <w:tc>
          <w:tcPr>
            <w:tcW w:w="6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11 068,9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100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10 918,4 </w:t>
            </w:r>
          </w:p>
        </w:tc>
        <w:tc>
          <w:tcPr>
            <w:tcW w:w="4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100 </w:t>
            </w:r>
          </w:p>
        </w:tc>
      </w:tr>
    </w:tbl>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xml:space="preserve">     При сравнении объема отгруженных товаров собственного производства, выполненных работ и услуг собственными силами в 2010 году с аналогичным показателем прошлого года в сопоставимых ценах темп роста составил 96,8%. </w:t>
      </w:r>
      <w:r w:rsidRPr="001735EC">
        <w:rPr>
          <w:rFonts w:ascii="Times New Roman" w:eastAsia="Times New Roman" w:hAnsi="Times New Roman" w:cs="Times New Roman"/>
          <w:sz w:val="24"/>
          <w:szCs w:val="24"/>
          <w:lang w:eastAsia="ru-RU"/>
        </w:rPr>
        <w:b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(79,6%). </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2009 года составил 95,9%.</w:t>
      </w:r>
      <w:r w:rsidRPr="001735EC">
        <w:rPr>
          <w:rFonts w:ascii="Times New Roman" w:eastAsia="Times New Roman" w:hAnsi="Times New Roman" w:cs="Times New Roman"/>
          <w:sz w:val="24"/>
          <w:szCs w:val="24"/>
          <w:lang w:eastAsia="ru-RU"/>
        </w:rPr>
        <w:br/>
        <w:t>     Учитывая, что 2009 год являлся переходным периодом в предоставлении статистической отчетности промышленными предприятиями, добывающими полезные ископаемые, в отчетном периоде 2010 году по предварительным данным, объемы добычи нефти и газа по территории города Когалыма составили 221,7 тыс. тонн нефти и 16,3 млн. куб. метров газа, что соответственно составляет 107,3% и 101,9% к сопоставимым показателям за аналогичный период 2009 года.</w:t>
      </w:r>
      <w:r w:rsidRPr="001735EC">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по предварительным данным, составил 996,3 млн. рублей, индекс промышленного производства при этом составил 155,3%. Рост объемов обрабатывающего производства обусловлено увеличением объемов производства предприятиями вида деятельности «Производство электрооборудования, электронного и оптического оборудования» и «Производства кокса и нефтепродуктов». На долю предприятий данных видов деятельности приходится 88,2% от общего объема продукции обрабатывающих предприятий города. </w:t>
      </w:r>
      <w:r w:rsidRPr="001735EC">
        <w:rPr>
          <w:rFonts w:ascii="Times New Roman" w:eastAsia="Times New Roman" w:hAnsi="Times New Roman" w:cs="Times New Roman"/>
          <w:sz w:val="24"/>
          <w:szCs w:val="24"/>
          <w:lang w:eastAsia="ru-RU"/>
        </w:rPr>
        <w:br/>
        <w:t xml:space="preserve">     Рост объемов производства прослеживается по следующим видам деятельности, входящим в раздел «Обрабатывающие производства» (в сопоставимых ценах): «Текстильное и швейное производство» (на 47,8%), «Производство электрооборудования, электронного и оптического оборудования» (на 11%), </w:t>
      </w:r>
      <w:r w:rsidRPr="001735EC">
        <w:rPr>
          <w:rFonts w:ascii="Times New Roman" w:eastAsia="Times New Roman" w:hAnsi="Times New Roman" w:cs="Times New Roman"/>
          <w:sz w:val="24"/>
          <w:szCs w:val="24"/>
          <w:lang w:eastAsia="ru-RU"/>
        </w:rPr>
        <w:br/>
        <w:t xml:space="preserve">     Индекс промышленного производства по виду экономической деятельности «Производство и распределение электроэнергии, газа и воды» в 1 квартале 2010 года составил 69,2% к аналогичному периоду прошлого года в сопоставимых объемах.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предварительной оценке составил 2 139,8 млн. рублей, что в фактических ценах ниже  показателя за аналогичный период прошлого года на 20,4%.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i/>
          <w:iCs/>
          <w:sz w:val="24"/>
          <w:szCs w:val="24"/>
          <w:u w:val="single"/>
          <w:lang w:eastAsia="ru-RU"/>
        </w:rPr>
        <w:t>Мероприятия по модернизации экономики моногорода Когалым:</w:t>
      </w:r>
      <w:r w:rsidRPr="001735EC">
        <w:rPr>
          <w:rFonts w:ascii="Times New Roman" w:eastAsia="Times New Roman" w:hAnsi="Times New Roman" w:cs="Times New Roman"/>
          <w:sz w:val="24"/>
          <w:szCs w:val="24"/>
          <w:lang w:eastAsia="ru-RU"/>
        </w:rPr>
        <w:t xml:space="preserve"> 25 января 2010 года Постановлением Администрации города Когалыма создана межведомственная рабочая группа по модернизации экономики моногорода Когалым, утверждены положение и состав рабочей группы. </w:t>
      </w:r>
      <w:r w:rsidRPr="001735EC">
        <w:rPr>
          <w:rFonts w:ascii="Times New Roman" w:eastAsia="Times New Roman" w:hAnsi="Times New Roman" w:cs="Times New Roman"/>
          <w:sz w:val="24"/>
          <w:szCs w:val="24"/>
          <w:lang w:eastAsia="ru-RU"/>
        </w:rPr>
        <w:br/>
        <w:t>     До 1 апреля текущего года был разработан и направлен в адрес Департамента экономической политики проект Комплексного плана модернизации экономики моногорода Когалыма до 2020 года. Данный проект будет доработан с учетом поступившей информации от Департамента по нефти, газу и минеральным ресурсам Ханты-Мансийского автономного округа-Югры, а так же информации ТПП «Когалымнефтегаз» ООО «ЛУКОЙЛ - Западная Сибирь».</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АГРОПРОМЫШЛЕННЫЙ КОМПЛЕКС</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и свиней. </w:t>
      </w:r>
      <w:r w:rsidRPr="001735EC">
        <w:rPr>
          <w:rFonts w:ascii="Times New Roman" w:eastAsia="Times New Roman" w:hAnsi="Times New Roman" w:cs="Times New Roman"/>
          <w:sz w:val="24"/>
          <w:szCs w:val="24"/>
          <w:lang w:eastAsia="ru-RU"/>
        </w:rPr>
        <w:br/>
        <w:t>     За январь-март 2010 года на территории города Когалыма производство мяса в живом весе составило 24,5 т., что превышает объем аналогичного периода прошлого года в 2,1 раза, производство молока 2,2 т., в 7,3 раз выше аналогичного показателя прошлого года.</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xml:space="preserve">     Поголовье крупного рогатого скота в городе на 1 апреля 2010 года составило 69 гол. или 191,7% к показателю на аналогичную дату прошлого года, поголовье свиней увеличилось в 2 раза и составило 370 гол. </w:t>
      </w:r>
      <w:r w:rsidRPr="001735EC">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январь - март текущего года было произведено и реализовано 0,8 т. продукции растениеводства (зеленные культуры). Производство данного вида продукции осуществляет Центр цветоводства и фитодизайна «ЭлиЯ» (индивидуальный предприниматель Э.И. Якобчак).</w:t>
      </w:r>
      <w:r w:rsidRPr="001735EC">
        <w:rPr>
          <w:rFonts w:ascii="Times New Roman" w:eastAsia="Times New Roman" w:hAnsi="Times New Roman" w:cs="Times New Roman"/>
          <w:sz w:val="24"/>
          <w:szCs w:val="24"/>
          <w:lang w:eastAsia="ru-RU"/>
        </w:rPr>
        <w:br/>
        <w:t xml:space="preserve">     В целях поддержки и развития сельскохозяйственного производства на территории города продолжает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w:t>
      </w:r>
      <w:r w:rsidRPr="001735EC">
        <w:rPr>
          <w:rFonts w:ascii="Times New Roman" w:eastAsia="Times New Roman" w:hAnsi="Times New Roman" w:cs="Times New Roman"/>
          <w:sz w:val="24"/>
          <w:szCs w:val="24"/>
          <w:lang w:eastAsia="ru-RU"/>
        </w:rPr>
        <w:br/>
        <w:t xml:space="preserve">     28 сентября 2009 года решением Думы города Когалыма № 420-ГД в городскую целевую программу внесены изменения,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городском рынке. Оплата, отведенных для торговли данной продукцией, мест будет осуществляться за счет городского бюджета. </w:t>
      </w:r>
      <w:r w:rsidRPr="001735EC">
        <w:rPr>
          <w:rFonts w:ascii="Times New Roman" w:eastAsia="Times New Roman" w:hAnsi="Times New Roman" w:cs="Times New Roman"/>
          <w:sz w:val="24"/>
          <w:szCs w:val="24"/>
          <w:lang w:eastAsia="ru-RU"/>
        </w:rPr>
        <w:br/>
        <w:t>     Постановлением Администрации города Когалыма от 08.12.2009 №2600 утвержден Порядок предоставления муниципальной финансовой поддержки развития сельскохозяйственного производства. Данным Порядком определены условия, порядок предоставления и возврата, контроль и ответственность за предоставлением муниципальной поддержки в виде субсидии в целях возмещения затрат связанных с реализацией сельскохозяйственной продукции на городском рынке города Когалыма (арендная плата за торговые места). Выплата субсидии осуществляется за счет средств городской целевой программы «Реализация приоритетного национального проекта «Развитие агропромышленного комплекса» на территории города Когалыма на 2008-2010 годы».</w:t>
      </w:r>
      <w:r w:rsidRPr="001735EC">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1735EC">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2010 год Соглашением запланировано производство и реализация 18 тонн мяса.  </w:t>
      </w:r>
      <w:r w:rsidRPr="001735EC">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 xml:space="preserve">МАЛОЕ ПРЕДПРИНИМАТЕЛЬСТВО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     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w:t>
      </w:r>
      <w:r w:rsidRPr="001735EC">
        <w:rPr>
          <w:rFonts w:ascii="Times New Roman" w:eastAsia="Times New Roman" w:hAnsi="Times New Roman" w:cs="Times New Roman"/>
          <w:sz w:val="24"/>
          <w:szCs w:val="24"/>
          <w:lang w:eastAsia="ru-RU"/>
        </w:rPr>
        <w:br/>
        <w:t xml:space="preserve">     В январе - марте  2010 года количество малых предприятий увеличилось до 252 </w:t>
      </w:r>
      <w:r w:rsidRPr="001735EC">
        <w:rPr>
          <w:rFonts w:ascii="Times New Roman" w:eastAsia="Times New Roman" w:hAnsi="Times New Roman" w:cs="Times New Roman"/>
          <w:sz w:val="24"/>
          <w:szCs w:val="24"/>
          <w:lang w:eastAsia="ru-RU"/>
        </w:rPr>
        <w:lastRenderedPageBreak/>
        <w:t>единиц, или на 2,9% к уровню соответствующего периода 2009 года.</w:t>
      </w:r>
      <w:r w:rsidRPr="001735EC">
        <w:rPr>
          <w:rFonts w:ascii="Times New Roman" w:eastAsia="Times New Roman" w:hAnsi="Times New Roman" w:cs="Times New Roman"/>
          <w:sz w:val="24"/>
          <w:szCs w:val="24"/>
          <w:lang w:eastAsia="ru-RU"/>
        </w:rPr>
        <w:br/>
        <w:t>     Численность работников в них увеличилась на 1,5% и составила 3,3 тыс. человек. С учетом индивидуальных предпринимателей общее количество работающих в секторе малого бизнеса составило 4,5 тыс. человек, то есть 9,0% от общей численности занятых в экономике города. Количество индивидуальных предпринимателей за I квартал 2010 года увеличилось на 29 единиц (с 1152 до 1181единиц).</w:t>
      </w:r>
      <w:r w:rsidRPr="001735EC">
        <w:rPr>
          <w:rFonts w:ascii="Times New Roman" w:eastAsia="Times New Roman" w:hAnsi="Times New Roman" w:cs="Times New Roman"/>
          <w:sz w:val="24"/>
          <w:szCs w:val="24"/>
          <w:lang w:eastAsia="ru-RU"/>
        </w:rPr>
        <w:br/>
        <w:t>     Деловой активности малых предприятий способствует созданная в 2009 году сеть инфраструктурных организаций, предоставляющих малому бизнесу финансовые и другие услуги, среди них представительство Сургутского филиала Фонда поддержки предпринимательства Югры в городе Когалыме, представительство общества с ограниченной ответственностью «Окружной Бизнес-Инкубатор».</w:t>
      </w:r>
      <w:r w:rsidRPr="001735EC">
        <w:rPr>
          <w:rFonts w:ascii="Times New Roman" w:eastAsia="Times New Roman" w:hAnsi="Times New Roman" w:cs="Times New Roman"/>
          <w:sz w:val="24"/>
          <w:szCs w:val="24"/>
          <w:lang w:eastAsia="ru-RU"/>
        </w:rPr>
        <w:br/>
        <w:t>     Кроме того, поддержке малого сектора экономики города в определённой степени способствует реализация мероприятий городской Программы «Развитие малого и среднего предпринимательства в городе Когалыме на 2006-2010 годы».</w:t>
      </w:r>
      <w:r w:rsidRPr="001735EC">
        <w:rPr>
          <w:rFonts w:ascii="Times New Roman" w:eastAsia="Times New Roman" w:hAnsi="Times New Roman" w:cs="Times New Roman"/>
          <w:sz w:val="24"/>
          <w:szCs w:val="24"/>
          <w:lang w:eastAsia="ru-RU"/>
        </w:rPr>
        <w:br/>
        <w:t xml:space="preserve">     В рамках программы осуществляется финансовая поддержка организаций, образующих инфраструктуру поддержки субъектов малого и среднего предпринимательства в городе Когалыме путём предоставления субсидий. </w:t>
      </w:r>
      <w:r w:rsidRPr="001735EC">
        <w:rPr>
          <w:rFonts w:ascii="Times New Roman" w:eastAsia="Times New Roman" w:hAnsi="Times New Roman" w:cs="Times New Roman"/>
          <w:sz w:val="24"/>
          <w:szCs w:val="24"/>
          <w:lang w:eastAsia="ru-RU"/>
        </w:rPr>
        <w:br/>
        <w:t>     Бюджет Программы  в 2010 году составил  1 658,0 тысяч рублей.</w:t>
      </w:r>
      <w:r w:rsidRPr="001735EC">
        <w:rPr>
          <w:rFonts w:ascii="Times New Roman" w:eastAsia="Times New Roman" w:hAnsi="Times New Roman" w:cs="Times New Roman"/>
          <w:sz w:val="24"/>
          <w:szCs w:val="24"/>
          <w:lang w:eastAsia="ru-RU"/>
        </w:rPr>
        <w:br/>
        <w:t>     Планируется также привлечение средств субсидия Ханты-Мансийского автономного округа-Югры на софинансирование Программы в 2010 году в размере 800 тысяч рублей. Заявление на получение данной субсидии было подано в марте 2010 года.</w:t>
      </w:r>
      <w:r w:rsidRPr="001735EC">
        <w:rPr>
          <w:rFonts w:ascii="Times New Roman" w:eastAsia="Times New Roman" w:hAnsi="Times New Roman" w:cs="Times New Roman"/>
          <w:sz w:val="24"/>
          <w:szCs w:val="24"/>
          <w:lang w:eastAsia="ru-RU"/>
        </w:rPr>
        <w:br/>
        <w:t>     Субъектам малого и среднего предпринимательства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За I квартал 2010 года было заключено 40 договоров аренды недвижимого имущества и 16 договоров аренды движимого имущества.</w:t>
      </w:r>
      <w:r w:rsidRPr="001735EC">
        <w:rPr>
          <w:rFonts w:ascii="Times New Roman" w:eastAsia="Times New Roman" w:hAnsi="Times New Roman" w:cs="Times New Roman"/>
          <w:sz w:val="24"/>
          <w:szCs w:val="24"/>
          <w:lang w:eastAsia="ru-RU"/>
        </w:rPr>
        <w:br/>
        <w:t>     В рамках оказания информационной поддержки, в еженедельной газете «Когалымский вестник» было размещено 3 объявления: о предоставлении грантов для Субъектов малого и среднего предпринимательства, о проведении в г. Москва курса повышения квалификации для Субъектов малого и среднего предпринимательства, о продлении срока приёма заявок на участие в конкурсе по предоставлению грантов Субъектам малого и среднего предпринимательства и 1 статья об итогах реализации Программы в 2009 году.</w:t>
      </w:r>
      <w:r w:rsidRPr="001735EC">
        <w:rPr>
          <w:rFonts w:ascii="Times New Roman" w:eastAsia="Times New Roman" w:hAnsi="Times New Roman" w:cs="Times New Roman"/>
          <w:sz w:val="24"/>
          <w:szCs w:val="24"/>
          <w:lang w:eastAsia="ru-RU"/>
        </w:rPr>
        <w:br/>
        <w:t xml:space="preserve">     Проведение образовательных мероприятий для Субъектов планируется во II квартале 2010 года. </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t>ИНВЕСТИЦИИ</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За январь - март 2010 год объем инвестиций в основной капитал за счет всех источников финансирования, по предварительной оценке, составил 1 511,8 млн. рублей или 95,1 % к аналогичному показателю 2009 года в сопоставимых ценах.</w:t>
      </w:r>
      <w:r w:rsidRPr="001735EC">
        <w:rPr>
          <w:rFonts w:ascii="Times New Roman" w:eastAsia="Times New Roman" w:hAnsi="Times New Roman" w:cs="Times New Roman"/>
          <w:sz w:val="24"/>
          <w:szCs w:val="24"/>
          <w:lang w:eastAsia="ru-RU"/>
        </w:rPr>
        <w:br/>
        <w:t xml:space="preserve">     По предварительным данным основную долю в структуре инвестиций по источникам финансирования занимают собственные средства предприятий - 89%, остальная часть приходится на долю привлеченных средств. </w:t>
      </w:r>
      <w:r w:rsidRPr="001735EC">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1735EC">
        <w:rPr>
          <w:rFonts w:ascii="Times New Roman" w:eastAsia="Times New Roman" w:hAnsi="Times New Roman" w:cs="Times New Roman"/>
          <w:sz w:val="24"/>
          <w:szCs w:val="24"/>
          <w:lang w:eastAsia="ru-RU"/>
        </w:rPr>
        <w:br/>
        <w:t>     - добыча полезных ископаемых - 73,1%;</w:t>
      </w:r>
      <w:r w:rsidRPr="001735EC">
        <w:rPr>
          <w:rFonts w:ascii="Times New Roman" w:eastAsia="Times New Roman" w:hAnsi="Times New Roman" w:cs="Times New Roman"/>
          <w:sz w:val="24"/>
          <w:szCs w:val="24"/>
          <w:lang w:eastAsia="ru-RU"/>
        </w:rPr>
        <w:br/>
        <w:t>     - обрабатывающие производства - 0,9%;</w:t>
      </w:r>
      <w:r w:rsidRPr="001735EC">
        <w:rPr>
          <w:rFonts w:ascii="Times New Roman" w:eastAsia="Times New Roman" w:hAnsi="Times New Roman" w:cs="Times New Roman"/>
          <w:sz w:val="24"/>
          <w:szCs w:val="24"/>
          <w:lang w:eastAsia="ru-RU"/>
        </w:rPr>
        <w:br/>
        <w:t>     - производство и распределение электроэнергии, газа и воды - 7,4%;</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 строительство - 1,5%;</w:t>
      </w:r>
      <w:r w:rsidRPr="001735EC">
        <w:rPr>
          <w:rFonts w:ascii="Times New Roman" w:eastAsia="Times New Roman" w:hAnsi="Times New Roman" w:cs="Times New Roman"/>
          <w:sz w:val="24"/>
          <w:szCs w:val="24"/>
          <w:lang w:eastAsia="ru-RU"/>
        </w:rPr>
        <w:br/>
        <w:t>     - транспорт и связь - 4,1%;</w:t>
      </w:r>
      <w:r w:rsidRPr="001735EC">
        <w:rPr>
          <w:rFonts w:ascii="Times New Roman" w:eastAsia="Times New Roman" w:hAnsi="Times New Roman" w:cs="Times New Roman"/>
          <w:sz w:val="24"/>
          <w:szCs w:val="24"/>
          <w:lang w:eastAsia="ru-RU"/>
        </w:rPr>
        <w:br/>
        <w:t>     - операции с недвижимым имуществом - 9,3%;</w:t>
      </w:r>
      <w:r w:rsidRPr="001735EC">
        <w:rPr>
          <w:rFonts w:ascii="Times New Roman" w:eastAsia="Times New Roman" w:hAnsi="Times New Roman" w:cs="Times New Roman"/>
          <w:sz w:val="24"/>
          <w:szCs w:val="24"/>
          <w:lang w:eastAsia="ru-RU"/>
        </w:rPr>
        <w:br/>
        <w:t>     - прочие виды деятельности - 3,7%.</w:t>
      </w:r>
      <w:r w:rsidRPr="001735EC">
        <w:rPr>
          <w:rFonts w:ascii="Times New Roman" w:eastAsia="Times New Roman" w:hAnsi="Times New Roman" w:cs="Times New Roman"/>
          <w:sz w:val="24"/>
          <w:szCs w:val="24"/>
          <w:lang w:eastAsia="ru-RU"/>
        </w:rPr>
        <w:br/>
        <w:t xml:space="preserve">     В отчетном периоде в городе осуществлялась реализация программ Ханты-Мансийского автономного округа - Югры «Улучшение жилищных условий населения Ханты-Мансийского автономного округа - Югры на 2005 - 2015 годы», «Развитие и модернизация жилищно-коммунального комплекса Ханты-Мансийского автономного округа - Югры на 2005-2012 годы», «Развитие материально-технической базы отраслей социальной сферы Ханты-Мансийского автономного округа - Югры на 2006-2010 годы», «Развитие материально-технической базы дошкольных образовательных учреждений в Ханты-Мансийском автономном округе - Югре на 2007-2010 годы». </w:t>
      </w:r>
      <w:r w:rsidRPr="001735EC">
        <w:rPr>
          <w:rFonts w:ascii="Times New Roman" w:eastAsia="Times New Roman" w:hAnsi="Times New Roman" w:cs="Times New Roman"/>
          <w:sz w:val="24"/>
          <w:szCs w:val="24"/>
          <w:lang w:eastAsia="ru-RU"/>
        </w:rPr>
        <w:br/>
        <w:t xml:space="preserve">     В январе - марте 2010 год на реализацию мероприятий региональных программ в городе Когалыме (с учетом переходящих остатков прошлых лет) объем капитальных вложений был запланирован в сумме 153,0, млн. рублей (из них 97,5 % - окружной бюджет, 2,5 % - местный бюджет). За отчетный период освоено 78,8 млн. рублей, что составляет 51,5% от запланированного объема на отчетный период. </w:t>
      </w:r>
      <w:r w:rsidRPr="001735EC">
        <w:rPr>
          <w:rFonts w:ascii="Times New Roman" w:eastAsia="Times New Roman" w:hAnsi="Times New Roman" w:cs="Times New Roman"/>
          <w:sz w:val="24"/>
          <w:szCs w:val="24"/>
          <w:lang w:eastAsia="ru-RU"/>
        </w:rPr>
        <w:br/>
        <w:t xml:space="preserve">     Весь объем капитальных вложений был направлен на реализацию программы «Развитие материально-технической базы отраслей социальной сферы Ханты-Мансийского автономного округа - Югры на 2006-2010 годы», в рамках данной программы продолжается строительство административного здания и спортивного центра с универсальный игровым залом пропускная способность которого составит 64 чел. в смену или 512 чел. в день. Ввод в эксплуатацию данных объектов запланирован на 2010 год. </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i/>
          <w:iCs/>
          <w:sz w:val="24"/>
          <w:szCs w:val="24"/>
          <w:u w:val="single"/>
          <w:lang w:eastAsia="ru-RU"/>
        </w:rPr>
        <w:t>Социальное партнерство:</w:t>
      </w:r>
      <w:r w:rsidRPr="001735EC">
        <w:rPr>
          <w:rFonts w:ascii="Times New Roman" w:eastAsia="Times New Roman" w:hAnsi="Times New Roman" w:cs="Times New Roman"/>
          <w:sz w:val="24"/>
          <w:szCs w:val="24"/>
          <w:lang w:eastAsia="ru-RU"/>
        </w:rPr>
        <w:t xml:space="preserve"> 15 декабря 2009 года между открытом акционерным обществом «Нефтяная компания «ЛУКОЙЛ» и Правительством Ханты - Мансийского автономного округа - Югры было подписано Дополнительное соглашение о сотрудничестве на 2010 год.</w:t>
      </w:r>
      <w:r w:rsidRPr="001735EC">
        <w:rPr>
          <w:rFonts w:ascii="Times New Roman" w:eastAsia="Times New Roman" w:hAnsi="Times New Roman" w:cs="Times New Roman"/>
          <w:sz w:val="24"/>
          <w:szCs w:val="24"/>
          <w:lang w:eastAsia="ru-RU"/>
        </w:rPr>
        <w:br/>
        <w:t>     На основании достигнутой договоренности Сторонами определен перечень объектов и объемы финансирования мероприятий в области социально-экономического развития территорий Ханты - Мансийского автономного округа - Югры, в том числе города  Когалыма.</w:t>
      </w:r>
      <w:r w:rsidRPr="001735EC">
        <w:rPr>
          <w:rFonts w:ascii="Times New Roman" w:eastAsia="Times New Roman" w:hAnsi="Times New Roman" w:cs="Times New Roman"/>
          <w:sz w:val="24"/>
          <w:szCs w:val="24"/>
          <w:lang w:eastAsia="ru-RU"/>
        </w:rPr>
        <w:br/>
        <w:t>     В рамках мероприятий данного Соглашения предусмотрено строительство жилых домов, детского сада на 320 мест и футбольного поля с трибунами, реконструкция городского парка аттракционов, а также реконструкция и ремонт социальных объектов.</w:t>
      </w:r>
      <w:r w:rsidRPr="001735EC">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март 2010 года составил 1 604,4 млн. рублей или 97,1% к аналогичному периоду прошлого года в сопоставимых ценах.</w:t>
      </w:r>
      <w:r w:rsidRPr="001735EC">
        <w:rPr>
          <w:rFonts w:ascii="Times New Roman" w:eastAsia="Times New Roman" w:hAnsi="Times New Roman" w:cs="Times New Roman"/>
          <w:sz w:val="24"/>
          <w:szCs w:val="24"/>
          <w:lang w:eastAsia="ru-RU"/>
        </w:rPr>
        <w:br/>
        <w:t>     За отчетный период ввод в действие жилых домов организациями всех форм собственности и индивидуального жилья не осуществлялся. В настоящее время на территории города продолжается строительство 16-ти этажного жилого дома общей площадью около 10 тыс. кв.м.</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t>ЖИЛИЩНО - КОММУНАЛЬНОЕ ХОЗЯЙСТВО</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w:t>
      </w:r>
      <w:r w:rsidRPr="001735EC">
        <w:rPr>
          <w:rFonts w:ascii="Times New Roman" w:eastAsia="Times New Roman" w:hAnsi="Times New Roman" w:cs="Times New Roman"/>
          <w:sz w:val="24"/>
          <w:szCs w:val="24"/>
          <w:lang w:eastAsia="ru-RU"/>
        </w:rPr>
        <w:lastRenderedPageBreak/>
        <w:t>обеспечивающей качество предоставляемых жилищно-коммунальных услуг.</w:t>
      </w:r>
      <w:r w:rsidRPr="001735EC">
        <w:rPr>
          <w:rFonts w:ascii="Times New Roman" w:eastAsia="Times New Roman" w:hAnsi="Times New Roman" w:cs="Times New Roman"/>
          <w:sz w:val="24"/>
          <w:szCs w:val="24"/>
          <w:lang w:eastAsia="ru-RU"/>
        </w:rPr>
        <w:br/>
        <w:t>     Комплекс жилищно-коммунального хозяйства города Когалыма направлен на содержание, техническое обслуживание и капитальный ремонт жилья; организацию тепло-, водо-, газо-, электорснабжения; содержание и капитальный ремонт дорог, благоустройство, оказание ритуальных услуг и т.д.</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i/>
          <w:iCs/>
          <w:sz w:val="24"/>
          <w:szCs w:val="24"/>
          <w:lang w:eastAsia="ru-RU"/>
        </w:rPr>
        <w:t>Жилищный фонд</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По состоянию на 1 апреля 2010 года жилищный фонд города составляет 967,0 тыс. кв.м. Обеспеченность жильем в среднем на 1 жителя составляет 16,3 кв. м. Доля благоустроенного жилищного фонда составляет - 100 %.</w:t>
      </w:r>
      <w:r w:rsidRPr="001735EC">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составила 71,2 тыс.кв.м. За отчетный период снесено 1,9 тыс. кв. м. жилой площади (5 жилых домов).</w:t>
      </w:r>
      <w:r w:rsidRPr="001735EC">
        <w:rPr>
          <w:rFonts w:ascii="Times New Roman" w:eastAsia="Times New Roman" w:hAnsi="Times New Roman" w:cs="Times New Roman"/>
          <w:sz w:val="24"/>
          <w:szCs w:val="24"/>
          <w:lang w:eastAsia="ru-RU"/>
        </w:rPr>
        <w:br/>
        <w:t xml:space="preserve">     На рынке коммунальных услуг действуют 29 предприятий, из них 28 частной формы собственности. В городе созданы и функционируют 21 товарищество собственников жилья и 12 управляющих компаний частной формы собственности, которые осуществляют свою деятельность на основе выбора «собственником» способа управления. </w:t>
      </w:r>
      <w:r w:rsidRPr="001735EC">
        <w:rPr>
          <w:rFonts w:ascii="Times New Roman" w:eastAsia="Times New Roman" w:hAnsi="Times New Roman" w:cs="Times New Roman"/>
          <w:sz w:val="24"/>
          <w:szCs w:val="24"/>
          <w:lang w:eastAsia="ru-RU"/>
        </w:rPr>
        <w:br/>
        <w:t>     По городу Когалыму на 2010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в размере 101,91 руб.</w:t>
      </w:r>
      <w:r w:rsidRPr="001735EC">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1 квартал 2010 года составляет 93,26 руб.</w:t>
      </w:r>
      <w:r w:rsidRPr="001735EC">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1735EC">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5,3%. </w:t>
      </w:r>
      <w:r w:rsidRPr="001735EC">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жилищно-коммунального комплекса за 1 квартал 2010 года составляет 389,52 рублей за 1 кв. м. общей площади жилья в месяц. Соотношение платежеспособной возможности и фактической стоимости услуг ЖКХ составляет 417,7%.</w:t>
      </w:r>
      <w:r w:rsidRPr="001735EC">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1 квартал 2010 года составляет 91,2%.</w:t>
      </w:r>
      <w:r w:rsidRPr="001735EC">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1735EC">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19,8 тыс. поквартирных счетчиков холодной и горячей воды (из них более 2 тыс. ед. за 1 квартал 2010 года).</w:t>
      </w:r>
      <w:r w:rsidRPr="001735EC">
        <w:rPr>
          <w:rFonts w:ascii="Times New Roman" w:eastAsia="Times New Roman" w:hAnsi="Times New Roman" w:cs="Times New Roman"/>
          <w:sz w:val="24"/>
          <w:szCs w:val="24"/>
          <w:lang w:eastAsia="ru-RU"/>
        </w:rPr>
        <w:br/>
        <w:t>     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lastRenderedPageBreak/>
        <w:br/>
      </w:r>
      <w:r w:rsidRPr="001735EC">
        <w:rPr>
          <w:rFonts w:ascii="Times New Roman" w:eastAsia="Times New Roman" w:hAnsi="Times New Roman" w:cs="Times New Roman"/>
          <w:i/>
          <w:iCs/>
          <w:sz w:val="24"/>
          <w:szCs w:val="24"/>
          <w:lang w:eastAsia="ru-RU"/>
        </w:rPr>
        <w:t>Водоснабжение</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129,9 км сетей водоснабжения. </w:t>
      </w:r>
      <w:r w:rsidRPr="001735EC">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1735EC">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1735EC">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м3/час. Протяженность канализационных сетей составляет 103,2 км.</w:t>
      </w:r>
      <w:r w:rsidRPr="001735EC">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r w:rsidRPr="001735EC">
        <w:rPr>
          <w:rFonts w:ascii="Times New Roman" w:eastAsia="Times New Roman" w:hAnsi="Times New Roman" w:cs="Times New Roman"/>
          <w:sz w:val="24"/>
          <w:szCs w:val="24"/>
          <w:lang w:eastAsia="ru-RU"/>
        </w:rPr>
        <w:br/>
        <w:t xml:space="preserve">     Услуги по водоснабжению и водоотведению оказывает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 на период до 31 декабря 2023 года </w:t>
      </w:r>
      <w:r w:rsidRPr="001735EC">
        <w:rPr>
          <w:rFonts w:ascii="Times New Roman" w:eastAsia="Times New Roman" w:hAnsi="Times New Roman" w:cs="Times New Roman"/>
          <w:sz w:val="24"/>
          <w:szCs w:val="24"/>
          <w:lang w:eastAsia="ru-RU"/>
        </w:rPr>
        <w:br/>
        <w:t>     За 1 квартал 2010 года потребителям реализовано 1457,5 тыс. м3 воды, проведена очистка 1397,2 тыс. м3 сточных вод.</w:t>
      </w:r>
      <w:r w:rsidRPr="001735EC">
        <w:rPr>
          <w:rFonts w:ascii="Times New Roman" w:eastAsia="Times New Roman" w:hAnsi="Times New Roman" w:cs="Times New Roman"/>
          <w:sz w:val="24"/>
          <w:szCs w:val="24"/>
          <w:lang w:eastAsia="ru-RU"/>
        </w:rPr>
        <w:br/>
        <w:t>     Аварии и технологические нарушения, повлекшие длительное отключение отсутствовали. ООО «Горводоканал» реализует инвестиционную программу по реконструкции, модернизации и развитию систем водоснабжения и водоотведения города Когалыма на 2009-2020 годы.</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i/>
          <w:iCs/>
          <w:sz w:val="24"/>
          <w:szCs w:val="24"/>
          <w:lang w:eastAsia="ru-RU"/>
        </w:rPr>
        <w:t>Теплоснабжение</w:t>
      </w:r>
      <w:r w:rsidRPr="001735EC">
        <w:rPr>
          <w:rFonts w:ascii="Times New Roman" w:eastAsia="Times New Roman" w:hAnsi="Times New Roman" w:cs="Times New Roman"/>
          <w:sz w:val="24"/>
          <w:szCs w:val="24"/>
          <w:lang w:eastAsia="ru-RU"/>
        </w:rPr>
        <w:t xml:space="preserve">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 и 127,7 км тепловых сетей.</w:t>
      </w:r>
      <w:r w:rsidRPr="001735EC">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1735EC">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1735EC">
        <w:rPr>
          <w:rFonts w:ascii="Times New Roman" w:eastAsia="Times New Roman" w:hAnsi="Times New Roman" w:cs="Times New Roman"/>
          <w:sz w:val="24"/>
          <w:szCs w:val="24"/>
          <w:lang w:eastAsia="ru-RU"/>
        </w:rPr>
        <w:br/>
        <w:t xml:space="preserve">     Особое внимание уделяется реконструкции тепловых сетей города, так как уровень их износа составляет более 40%. Все магистрали города заменены на трубы в пенополиуритановой-изоляции. Реконструкция внутриквартальных сетей происходит с </w:t>
      </w:r>
      <w:r w:rsidRPr="001735EC">
        <w:rPr>
          <w:rFonts w:ascii="Times New Roman" w:eastAsia="Times New Roman" w:hAnsi="Times New Roman" w:cs="Times New Roman"/>
          <w:sz w:val="24"/>
          <w:szCs w:val="24"/>
          <w:lang w:eastAsia="ru-RU"/>
        </w:rPr>
        <w:lastRenderedPageBreak/>
        <w:t>децентрализацией горячего водоснабжения и установкой автоматизированных индивидуальных тепловых пунктов. Всего в жилых домах установлено 148 АИТП.</w:t>
      </w:r>
      <w:r w:rsidRPr="001735EC">
        <w:rPr>
          <w:rFonts w:ascii="Times New Roman" w:eastAsia="Times New Roman" w:hAnsi="Times New Roman" w:cs="Times New Roman"/>
          <w:sz w:val="24"/>
          <w:szCs w:val="24"/>
          <w:lang w:eastAsia="ru-RU"/>
        </w:rPr>
        <w:br/>
        <w:t xml:space="preserve">     Услуги по теплоснабжению города в основном оказывает ООО «Городские Теплосети» в соответствии с концессионным соглашением в отношении имущественного комплекса «Система теплоснабжения города Когалыма» с ООО «Городские Теплосети» на период до 31 декабря 2023 года. </w:t>
      </w:r>
      <w:r w:rsidRPr="001735EC">
        <w:rPr>
          <w:rFonts w:ascii="Times New Roman" w:eastAsia="Times New Roman" w:hAnsi="Times New Roman" w:cs="Times New Roman"/>
          <w:sz w:val="24"/>
          <w:szCs w:val="24"/>
          <w:lang w:eastAsia="ru-RU"/>
        </w:rPr>
        <w:br/>
        <w:t>     Объем реализации тепловой энергии за 1 квартал 2010 года составил 223,4 тыс. Гкал.</w:t>
      </w:r>
      <w:r w:rsidRPr="001735EC">
        <w:rPr>
          <w:rFonts w:ascii="Times New Roman" w:eastAsia="Times New Roman" w:hAnsi="Times New Roman" w:cs="Times New Roman"/>
          <w:sz w:val="24"/>
          <w:szCs w:val="24"/>
          <w:lang w:eastAsia="ru-RU"/>
        </w:rPr>
        <w:br/>
        <w:t>     Основной задачей предприятия в 1 квартале 2010 года являлось обеспечение надежного теплоснабжения города и формирование мероприятий по подготовке к осенне-зимнему периоду 2010-2011 годов. Аварии и технологические нарушения, повлекшие длительное отключение, отсутствовали. ООО «Городские Теплосети» реализует инвестиционную программу по реконструкции, модернизации и развитию системы теплоснабжения города Когалыма на 2009-2020 годы.</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i/>
          <w:iCs/>
          <w:sz w:val="24"/>
          <w:szCs w:val="24"/>
          <w:lang w:eastAsia="ru-RU"/>
        </w:rPr>
        <w:t>Газоснабжение</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1735EC">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1735EC">
        <w:rPr>
          <w:rFonts w:ascii="Times New Roman" w:eastAsia="Times New Roman" w:hAnsi="Times New Roman" w:cs="Times New Roman"/>
          <w:sz w:val="24"/>
          <w:szCs w:val="24"/>
          <w:lang w:eastAsia="ru-RU"/>
        </w:rPr>
        <w:br/>
        <w:t xml:space="preserve">     Услуги по транспортировке и обслуживанию газового оборудования промышленного и бытового назначения осуществляет ОАО «Когалымгоргаз». За 1 квартал 2010 года осуществлена транспортировка 41,1 млн. м(3) газа. </w:t>
      </w:r>
      <w:r w:rsidRPr="001735EC">
        <w:rPr>
          <w:rFonts w:ascii="Times New Roman" w:eastAsia="Times New Roman" w:hAnsi="Times New Roman" w:cs="Times New Roman"/>
          <w:sz w:val="24"/>
          <w:szCs w:val="24"/>
          <w:lang w:eastAsia="ru-RU"/>
        </w:rPr>
        <w:br/>
        <w:t>     Основной задачей предприятия в 1 квартале 2010 года являлось надежное газоснабжение котельных и жилых домов индивидуальной застройки города.</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i/>
          <w:iCs/>
          <w:sz w:val="24"/>
          <w:szCs w:val="24"/>
          <w:lang w:eastAsia="ru-RU"/>
        </w:rPr>
        <w:t>Электроснабжение</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Электроснабжение города Когалыма на нужды наружного освещения в 2010 году осуществляет ОАО «ЮТЭК», как гарантирующий поставщик.</w:t>
      </w:r>
      <w:r w:rsidRPr="001735EC">
        <w:rPr>
          <w:rFonts w:ascii="Times New Roman" w:eastAsia="Times New Roman" w:hAnsi="Times New Roman" w:cs="Times New Roman"/>
          <w:sz w:val="24"/>
          <w:szCs w:val="24"/>
          <w:lang w:eastAsia="ru-RU"/>
        </w:rPr>
        <w:br/>
        <w:t>     Головные источники электроснабжения города ПС-110/35/10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1735EC">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1735EC">
        <w:rPr>
          <w:rFonts w:ascii="Times New Roman" w:eastAsia="Times New Roman" w:hAnsi="Times New Roman" w:cs="Times New Roman"/>
          <w:sz w:val="24"/>
          <w:szCs w:val="24"/>
          <w:lang w:eastAsia="ru-RU"/>
        </w:rPr>
        <w:br/>
        <w:t xml:space="preserve">     За 1 квартал 2010 года ОАО «ЮТЭК» реализовало электрической энергии всего 50,9 </w:t>
      </w:r>
      <w:r w:rsidRPr="001735EC">
        <w:rPr>
          <w:rFonts w:ascii="Times New Roman" w:eastAsia="Times New Roman" w:hAnsi="Times New Roman" w:cs="Times New Roman"/>
          <w:sz w:val="24"/>
          <w:szCs w:val="24"/>
          <w:lang w:eastAsia="ru-RU"/>
        </w:rPr>
        <w:lastRenderedPageBreak/>
        <w:t xml:space="preserve">млн. кВт/час, из них на нужды наружного освещения города - 0,8 млн. кВт/час. </w:t>
      </w:r>
      <w:r w:rsidRPr="001735EC">
        <w:rPr>
          <w:rFonts w:ascii="Times New Roman" w:eastAsia="Times New Roman" w:hAnsi="Times New Roman" w:cs="Times New Roman"/>
          <w:sz w:val="24"/>
          <w:szCs w:val="24"/>
          <w:lang w:eastAsia="ru-RU"/>
        </w:rPr>
        <w:br/>
        <w:t xml:space="preserve">     Оказание услуг по техническому обслуживанию и ремонту электрооборудования наружного освещения и светофорных объектов города осуществляет ОАО «ЮТЭК-Когалым» на основании муниципальных контрактов по результатам аукционов. </w:t>
      </w:r>
      <w:r w:rsidRPr="001735EC">
        <w:rPr>
          <w:rFonts w:ascii="Times New Roman" w:eastAsia="Times New Roman" w:hAnsi="Times New Roman" w:cs="Times New Roman"/>
          <w:sz w:val="24"/>
          <w:szCs w:val="24"/>
          <w:lang w:eastAsia="ru-RU"/>
        </w:rPr>
        <w:br/>
        <w:t>     Ограничений в снабжении электроэнергией не установлено. Аварии и технологические нарушения, повлекшие длительное отключение, в 1 квартале 2010 года отсутствовали. С 2009 года разработана и реализуется инвестиционная программа развития электросетевого хозяйства коммунальной энергетики ХМАО - Югры  по ОАО "ЮТЭК-Когалым" на 2009 - 2011 годы.</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i/>
          <w:iCs/>
          <w:sz w:val="24"/>
          <w:szCs w:val="24"/>
          <w:lang w:eastAsia="ru-RU"/>
        </w:rPr>
        <w:t>Дорожное хозяйство</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1735EC">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1735EC">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1735EC">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заключённых по результатам проведённых аукционов.</w:t>
      </w:r>
      <w:r w:rsidRPr="001735EC">
        <w:rPr>
          <w:rFonts w:ascii="Times New Roman" w:eastAsia="Times New Roman" w:hAnsi="Times New Roman" w:cs="Times New Roman"/>
          <w:sz w:val="24"/>
          <w:szCs w:val="24"/>
          <w:lang w:eastAsia="ru-RU"/>
        </w:rPr>
        <w:br/>
        <w:t>     С января 2010 года вывоз твёрдых бытовых отходов (ТБО) осуществляет ООО «Экотехсервис» на основании договоров с организациями, управляющими жилищным фондом города и др.</w:t>
      </w:r>
      <w:r w:rsidRPr="001735EC">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1735EC">
        <w:rPr>
          <w:rFonts w:ascii="Times New Roman" w:eastAsia="Times New Roman" w:hAnsi="Times New Roman" w:cs="Times New Roman"/>
          <w:sz w:val="24"/>
          <w:szCs w:val="24"/>
          <w:lang w:eastAsia="ru-RU"/>
        </w:rPr>
        <w:br/>
        <w:t>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r w:rsidRPr="001735EC">
        <w:rPr>
          <w:rFonts w:ascii="Times New Roman" w:eastAsia="Times New Roman" w:hAnsi="Times New Roman" w:cs="Times New Roman"/>
          <w:sz w:val="24"/>
          <w:szCs w:val="24"/>
          <w:lang w:eastAsia="ru-RU"/>
        </w:rPr>
        <w:br/>
        <w:t>     Основной задачей предприятия в четвертом в 1 квартале 2010 года являлась своевременная очистка автодорог и микрорайонов города от снега.</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i/>
          <w:iCs/>
          <w:sz w:val="24"/>
          <w:szCs w:val="24"/>
          <w:lang w:eastAsia="ru-RU"/>
        </w:rPr>
        <w:t>Общественный транспорт</w:t>
      </w:r>
      <w:r w:rsidRPr="001735EC">
        <w:rPr>
          <w:rFonts w:ascii="Times New Roman" w:eastAsia="Times New Roman" w:hAnsi="Times New Roman" w:cs="Times New Roman"/>
          <w:sz w:val="24"/>
          <w:szCs w:val="24"/>
          <w:lang w:eastAsia="ru-RU"/>
        </w:rPr>
        <w:t xml:space="preserve">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В 1 квартале 2010 года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договору о предоставлении субсидии, заключенному по итогам проведенного конкурсного отбора.</w:t>
      </w:r>
      <w:r w:rsidRPr="001735EC">
        <w:rPr>
          <w:rFonts w:ascii="Times New Roman" w:eastAsia="Times New Roman" w:hAnsi="Times New Roman" w:cs="Times New Roman"/>
          <w:sz w:val="24"/>
          <w:szCs w:val="24"/>
          <w:lang w:eastAsia="ru-RU"/>
        </w:rPr>
        <w:br/>
        <w:t xml:space="preserve">     В 1 квартале 2010 года была продолжена работа 8 регулярных маршрутов и за отчетный период выполнено 33,2 тыс. рейсов, пассажирооборот составил 1,4 млн. пас. км. </w:t>
      </w:r>
      <w:r w:rsidRPr="001735EC">
        <w:rPr>
          <w:rFonts w:ascii="Times New Roman" w:eastAsia="Times New Roman" w:hAnsi="Times New Roman" w:cs="Times New Roman"/>
          <w:sz w:val="24"/>
          <w:szCs w:val="24"/>
          <w:lang w:eastAsia="ru-RU"/>
        </w:rPr>
        <w:br/>
        <w:t xml:space="preserve">     Первоочередными задачами на 2010 год является расширение объемов </w:t>
      </w:r>
      <w:r w:rsidRPr="001735EC">
        <w:rPr>
          <w:rFonts w:ascii="Times New Roman" w:eastAsia="Times New Roman" w:hAnsi="Times New Roman" w:cs="Times New Roman"/>
          <w:sz w:val="24"/>
          <w:szCs w:val="24"/>
          <w:lang w:eastAsia="ru-RU"/>
        </w:rPr>
        <w:lastRenderedPageBreak/>
        <w:t>дополнительных услуг населению и организациям, эффективное использование ресурсов и снижение производственных затрат, получение прибыли.</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i/>
          <w:iCs/>
          <w:sz w:val="24"/>
          <w:szCs w:val="24"/>
          <w:lang w:eastAsia="ru-RU"/>
        </w:rPr>
        <w:t>Работа жилищно-коммунального комплекса</w:t>
      </w:r>
      <w:r w:rsidRPr="001735EC">
        <w:rPr>
          <w:rFonts w:ascii="Times New Roman" w:eastAsia="Times New Roman" w:hAnsi="Times New Roman" w:cs="Times New Roman"/>
          <w:sz w:val="24"/>
          <w:szCs w:val="24"/>
          <w:lang w:eastAsia="ru-RU"/>
        </w:rPr>
        <w:t xml:space="preserve">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1735EC">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качества условий проживания и коммунального обслуживания населения, надежности систем жизнеобеспечения города, сокращение отказов и повреждений систем тепло-, водо-, газо- и электроснабжения города.</w:t>
      </w:r>
      <w:r w:rsidRPr="001735EC">
        <w:rPr>
          <w:rFonts w:ascii="Times New Roman" w:eastAsia="Times New Roman" w:hAnsi="Times New Roman" w:cs="Times New Roman"/>
          <w:sz w:val="24"/>
          <w:szCs w:val="24"/>
          <w:lang w:eastAsia="ru-RU"/>
        </w:rPr>
        <w:br/>
        <w:t xml:space="preserve">     В 1 квартале 2010 года отмечалась стабильная работа предприятий жилищно-коммунального комплекса, аварий и перерывов в снабжении энергоресурсами не было. </w:t>
      </w:r>
      <w:r w:rsidRPr="001735EC">
        <w:rPr>
          <w:rFonts w:ascii="Times New Roman" w:eastAsia="Times New Roman" w:hAnsi="Times New Roman" w:cs="Times New Roman"/>
          <w:sz w:val="24"/>
          <w:szCs w:val="24"/>
          <w:lang w:eastAsia="ru-RU"/>
        </w:rPr>
        <w:br/>
        <w:t xml:space="preserve">     Своевременная и качественная подготовка к осенне-зимнему периоду 2009-2010 годов обеспечила надежное и безаварийное тепло-, водо- и электроснабжение потребителей города в зимний период. </w:t>
      </w:r>
      <w:r w:rsidRPr="001735EC">
        <w:rPr>
          <w:rFonts w:ascii="Times New Roman" w:eastAsia="Times New Roman" w:hAnsi="Times New Roman" w:cs="Times New Roman"/>
          <w:sz w:val="24"/>
          <w:szCs w:val="24"/>
          <w:lang w:eastAsia="ru-RU"/>
        </w:rPr>
        <w:br/>
        <w:t>     В 2010 году продолжилась реализация инвестиционных программ ООО «Городские Теплосети» и ООО «Горводоканал» по реконструкции, модернизации и развитию систем теплоснабжения, водоснабжения и водоотведения города Когалыма на 2009-2020 годы. В ноябре 2009 года решениями Думы города Когалыма (от 25.11.2009 №444-ГД, 445-ГД) были утверждены инвестиционные надбавки к тарифам на тепловую энергию и услуги по водоснабжению, а также финансовые планы реализации мероприятий инвестиционных программ на 2010 год.</w:t>
      </w:r>
      <w:r w:rsidRPr="001735EC">
        <w:rPr>
          <w:rFonts w:ascii="Times New Roman" w:eastAsia="Times New Roman" w:hAnsi="Times New Roman" w:cs="Times New Roman"/>
          <w:sz w:val="24"/>
          <w:szCs w:val="24"/>
          <w:lang w:eastAsia="ru-RU"/>
        </w:rPr>
        <w:br/>
        <w:t>     Основными направлениями работы предприятий  в 1 квартале было:</w:t>
      </w:r>
      <w:r w:rsidRPr="001735EC">
        <w:rPr>
          <w:rFonts w:ascii="Times New Roman" w:eastAsia="Times New Roman" w:hAnsi="Times New Roman" w:cs="Times New Roman"/>
          <w:sz w:val="24"/>
          <w:szCs w:val="24"/>
          <w:lang w:eastAsia="ru-RU"/>
        </w:rPr>
        <w:br/>
        <w:t>     - уточнение объемов работ;</w:t>
      </w:r>
      <w:r w:rsidRPr="001735EC">
        <w:rPr>
          <w:rFonts w:ascii="Times New Roman" w:eastAsia="Times New Roman" w:hAnsi="Times New Roman" w:cs="Times New Roman"/>
          <w:sz w:val="24"/>
          <w:szCs w:val="24"/>
          <w:lang w:eastAsia="ru-RU"/>
        </w:rPr>
        <w:br/>
        <w:t>- отбор поставщиком материалов, оборудования и услуг;</w:t>
      </w:r>
      <w:r w:rsidRPr="001735EC">
        <w:rPr>
          <w:rFonts w:ascii="Times New Roman" w:eastAsia="Times New Roman" w:hAnsi="Times New Roman" w:cs="Times New Roman"/>
          <w:sz w:val="24"/>
          <w:szCs w:val="24"/>
          <w:lang w:eastAsia="ru-RU"/>
        </w:rPr>
        <w:br/>
        <w:t>- заключение договоров на поставку материалов, оборудования и выполнение проектных работ;</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согласование с банком графика выборки кредитов и выборка кредитов в соответствии с графиком.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В 1 квартале 2010 года общее выполнение ООО «Городские Теплосети» составило - 38,0 млн. руб., в том числе: кредитные средства -  33,7 млн. руб., амортизационные отчисления - 4,3 млн. руб. </w:t>
      </w:r>
      <w:r w:rsidRPr="001735EC">
        <w:rPr>
          <w:rFonts w:ascii="Times New Roman" w:eastAsia="Times New Roman" w:hAnsi="Times New Roman" w:cs="Times New Roman"/>
          <w:sz w:val="24"/>
          <w:szCs w:val="24"/>
          <w:lang w:eastAsia="ru-RU"/>
        </w:rPr>
        <w:br/>
        <w:t>     Выполнено:</w:t>
      </w:r>
      <w:r w:rsidRPr="001735EC">
        <w:rPr>
          <w:rFonts w:ascii="Times New Roman" w:eastAsia="Times New Roman" w:hAnsi="Times New Roman" w:cs="Times New Roman"/>
          <w:sz w:val="24"/>
          <w:szCs w:val="24"/>
          <w:lang w:eastAsia="ru-RU"/>
        </w:rPr>
        <w:br/>
        <w:t xml:space="preserve">     1. Реконструкция тепловых сетей микрорайонов города с установкой автоматизированных тепловых пунктов (АИТП) в жилых домах на сумму - 28,7 млн. руб. </w:t>
      </w:r>
      <w:r w:rsidRPr="001735EC">
        <w:rPr>
          <w:rFonts w:ascii="Times New Roman" w:eastAsia="Times New Roman" w:hAnsi="Times New Roman" w:cs="Times New Roman"/>
          <w:sz w:val="24"/>
          <w:szCs w:val="24"/>
          <w:lang w:eastAsia="ru-RU"/>
        </w:rPr>
        <w:br/>
        <w:t xml:space="preserve">     2. Реконструкция и модернизацию энергохозяйства городских котельных с внедрением частотного привода на сетевые насосы и диспетчеризацию (завершение работ) на сумму - 5,0 млн. руб. </w:t>
      </w:r>
      <w:r w:rsidRPr="001735EC">
        <w:rPr>
          <w:rFonts w:ascii="Times New Roman" w:eastAsia="Times New Roman" w:hAnsi="Times New Roman" w:cs="Times New Roman"/>
          <w:sz w:val="24"/>
          <w:szCs w:val="24"/>
          <w:lang w:eastAsia="ru-RU"/>
        </w:rPr>
        <w:br/>
        <w:t>     3. Обновление основных средств: приобретены 2 трактора МТЗ-80, самосвал «Камаз» и 2 мотопомпы, остальные работы будут производиться по окончании отопительного сезона.</w:t>
      </w:r>
      <w:r w:rsidRPr="001735EC">
        <w:rPr>
          <w:rFonts w:ascii="Times New Roman" w:eastAsia="Times New Roman" w:hAnsi="Times New Roman" w:cs="Times New Roman"/>
          <w:sz w:val="24"/>
          <w:szCs w:val="24"/>
          <w:lang w:eastAsia="ru-RU"/>
        </w:rPr>
        <w:br/>
        <w:t>     В 1 квартале 2010 года общее выполнение ООО «Горводоканал» составило - 6,3 млн. руб., в том числе: кредитные средства -  2,8 млн. руб., амортизационные отчисления - 3</w:t>
      </w:r>
      <w:r w:rsidRPr="001735EC">
        <w:rPr>
          <w:rFonts w:ascii="Times New Roman" w:eastAsia="Times New Roman" w:hAnsi="Times New Roman" w:cs="Times New Roman"/>
          <w:b/>
          <w:bCs/>
          <w:sz w:val="24"/>
          <w:szCs w:val="24"/>
          <w:lang w:eastAsia="ru-RU"/>
        </w:rPr>
        <w:t>,</w:t>
      </w:r>
      <w:r w:rsidRPr="001735EC">
        <w:rPr>
          <w:rFonts w:ascii="Times New Roman" w:eastAsia="Times New Roman" w:hAnsi="Times New Roman" w:cs="Times New Roman"/>
          <w:sz w:val="24"/>
          <w:szCs w:val="24"/>
          <w:lang w:eastAsia="ru-RU"/>
        </w:rPr>
        <w:t xml:space="preserve">5 млн. руб. </w:t>
      </w:r>
      <w:r w:rsidRPr="001735EC">
        <w:rPr>
          <w:rFonts w:ascii="Times New Roman" w:eastAsia="Times New Roman" w:hAnsi="Times New Roman" w:cs="Times New Roman"/>
          <w:sz w:val="24"/>
          <w:szCs w:val="24"/>
          <w:lang w:eastAsia="ru-RU"/>
        </w:rPr>
        <w:br/>
        <w:t>     Выполнено:</w:t>
      </w:r>
      <w:r w:rsidRPr="001735EC">
        <w:rPr>
          <w:rFonts w:ascii="Times New Roman" w:eastAsia="Times New Roman" w:hAnsi="Times New Roman" w:cs="Times New Roman"/>
          <w:sz w:val="24"/>
          <w:szCs w:val="24"/>
          <w:lang w:eastAsia="ru-RU"/>
        </w:rPr>
        <w:br/>
        <w:t xml:space="preserve">     1. Реконструкция сетей водоснабжения микрорайонов. </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2. Строительство ограждения санитарной зоны по периметру ВОС (выполнено 50% работы, окончание в июне).</w:t>
      </w:r>
      <w:r w:rsidRPr="001735EC">
        <w:rPr>
          <w:rFonts w:ascii="Times New Roman" w:eastAsia="Times New Roman" w:hAnsi="Times New Roman" w:cs="Times New Roman"/>
          <w:sz w:val="24"/>
          <w:szCs w:val="24"/>
          <w:lang w:eastAsia="ru-RU"/>
        </w:rPr>
        <w:br/>
        <w:t>     3. Обновление основных средств объектов КОС: произведена предоплата на поставку 3 насосных агрегата, 2 воздуходувок, каналопромывочной машины, вводных распредустройств для 5 КНС, материалов для реконструкции освещения.</w:t>
      </w:r>
      <w:r w:rsidRPr="001735EC">
        <w:rPr>
          <w:rFonts w:ascii="Times New Roman" w:eastAsia="Times New Roman" w:hAnsi="Times New Roman" w:cs="Times New Roman"/>
          <w:sz w:val="24"/>
          <w:szCs w:val="24"/>
          <w:lang w:eastAsia="ru-RU"/>
        </w:rPr>
        <w:br/>
        <w:t xml:space="preserve">В 1 квартале 2010 года велась подготовительная работа по выбору подрядных организаций для выполнения работ по капитальному ремонту жилищного фонда в соответствии с утвержденной Муниципальной адресной программой по проведению капитального ремонта многоквартирных домов города Когалыма на  2010 год. </w:t>
      </w:r>
      <w:r w:rsidRPr="001735EC">
        <w:rPr>
          <w:rFonts w:ascii="Times New Roman" w:eastAsia="Times New Roman" w:hAnsi="Times New Roman" w:cs="Times New Roman"/>
          <w:sz w:val="24"/>
          <w:szCs w:val="24"/>
          <w:lang w:eastAsia="ru-RU"/>
        </w:rPr>
        <w:br/>
        <w:t>Работы будут начаты при получении средств из Фонда содействия г. Москва.</w:t>
      </w:r>
      <w:r w:rsidRPr="001735EC">
        <w:rPr>
          <w:rFonts w:ascii="Times New Roman" w:eastAsia="Times New Roman" w:hAnsi="Times New Roman" w:cs="Times New Roman"/>
          <w:sz w:val="24"/>
          <w:szCs w:val="24"/>
          <w:lang w:eastAsia="ru-RU"/>
        </w:rPr>
        <w:br/>
        <w:t>     В соответствии с распоряжением Правительства Ханты - Мансийского автономного округа - Югры от 13.10.2009 № 439-рп «О сводном докладе Ханты - 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автономного округа за 2008 год» и индивидуальным рекомендациям необходимо выполнить следующее:</w:t>
      </w:r>
      <w:r w:rsidRPr="001735EC">
        <w:rPr>
          <w:rFonts w:ascii="Times New Roman" w:eastAsia="Times New Roman" w:hAnsi="Times New Roman" w:cs="Times New Roman"/>
          <w:sz w:val="24"/>
          <w:szCs w:val="24"/>
          <w:lang w:eastAsia="ru-RU"/>
        </w:rPr>
        <w:br/>
        <w:t>1. В соответствии с требованиями Федерального закона № 210-ФЗ «Об основах регулирования тарифов организаций коммунального комплекса» разработать программу комплексного развития систем коммунальной инфраструктуры города Когалыма:</w:t>
      </w:r>
      <w:r w:rsidRPr="001735EC">
        <w:rPr>
          <w:rFonts w:ascii="Times New Roman" w:eastAsia="Times New Roman" w:hAnsi="Times New Roman" w:cs="Times New Roman"/>
          <w:sz w:val="24"/>
          <w:szCs w:val="24"/>
          <w:lang w:eastAsia="ru-RU"/>
        </w:rPr>
        <w:br/>
        <w:t>- в настоящее время программа разработана и будет представлена на рассмотрение Думы в апреле 2010 года.</w:t>
      </w:r>
      <w:r w:rsidRPr="001735EC">
        <w:rPr>
          <w:rFonts w:ascii="Times New Roman" w:eastAsia="Times New Roman" w:hAnsi="Times New Roman" w:cs="Times New Roman"/>
          <w:sz w:val="24"/>
          <w:szCs w:val="24"/>
          <w:lang w:eastAsia="ru-RU"/>
        </w:rPr>
        <w:br/>
        <w:t>     2. В соответствии с требованиями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в срок до 1 августа 2010 года разработать и утвердить муниципальную программу по энергосбережению:</w:t>
      </w:r>
      <w:r w:rsidRPr="001735EC">
        <w:rPr>
          <w:rFonts w:ascii="Times New Roman" w:eastAsia="Times New Roman" w:hAnsi="Times New Roman" w:cs="Times New Roman"/>
          <w:sz w:val="24"/>
          <w:szCs w:val="24"/>
          <w:lang w:eastAsia="ru-RU"/>
        </w:rPr>
        <w:br/>
        <w:t>     - распоряжением Администрации города Когалыма от 05.02.2010 №32-р утверждена разработка долгосрочной муниципальной программы «Энергосбережение и о повышении энергетической эффективности в городе Когалыме»;</w:t>
      </w:r>
      <w:r w:rsidRPr="001735EC">
        <w:rPr>
          <w:rFonts w:ascii="Times New Roman" w:eastAsia="Times New Roman" w:hAnsi="Times New Roman" w:cs="Times New Roman"/>
          <w:sz w:val="24"/>
          <w:szCs w:val="24"/>
          <w:lang w:eastAsia="ru-RU"/>
        </w:rPr>
        <w:br/>
        <w:t>     - проведено энергетическое обследование с оформлением энергетических паспортов 18 зданий: 12 типов многоквартирных домов, 5 зданий бюджетных учреждений и 1 здание муниципального предприятия;</w:t>
      </w:r>
      <w:r w:rsidRPr="001735EC">
        <w:rPr>
          <w:rFonts w:ascii="Times New Roman" w:eastAsia="Times New Roman" w:hAnsi="Times New Roman" w:cs="Times New Roman"/>
          <w:sz w:val="24"/>
          <w:szCs w:val="24"/>
          <w:lang w:eastAsia="ru-RU"/>
        </w:rPr>
        <w:br/>
        <w:t xml:space="preserve">     - проведен семинар по вопросам реализации Федерального закона от 23 ноября 2009 года № 261-ФЗ и программы «Энергосбережение и о повышении энергетической эффективности». </w:t>
      </w:r>
      <w:r w:rsidRPr="001735EC">
        <w:rPr>
          <w:rFonts w:ascii="Times New Roman" w:eastAsia="Times New Roman" w:hAnsi="Times New Roman" w:cs="Times New Roman"/>
          <w:sz w:val="24"/>
          <w:szCs w:val="24"/>
          <w:lang w:eastAsia="ru-RU"/>
        </w:rPr>
        <w:br/>
        <w:t>     В настоящее время ведется работа по формированию муниципальной Программы.</w:t>
      </w:r>
      <w:r w:rsidRPr="001735EC">
        <w:rPr>
          <w:rFonts w:ascii="Times New Roman" w:eastAsia="Times New Roman" w:hAnsi="Times New Roman" w:cs="Times New Roman"/>
          <w:sz w:val="24"/>
          <w:szCs w:val="24"/>
          <w:lang w:eastAsia="ru-RU"/>
        </w:rPr>
        <w:br/>
        <w:t>     С целью повышения качества предоставления услуг ЖКХ постоянно ведется работа по анализу общественного мнения, ежегодно разрабатываются мероприятия по повышения качества предоставления услуг ЖКХ. В ООО «ЕРИЦ» организован  сбор письменных пожеланий и предложений граждан по вопросам ЖКУ, а также открыт сайт, где освещаются все новости законодательства, изменения в системе оплате за ЖКУ и организована обратная связь с гражданами «вопрос-ответ». Управляющие компании проводят собрания с жителями, размещают информацию на стендах в подъездах. Вся информация о предприятиях ЖКХ размещена на сайте Администрации города Когалыма, работает виртуальная приемная Главы города и общественная приемная.  </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ТРУД И ЗАНЯТОСТЬ</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     По итогам 1 квартала 2010 года численность экономически активного населения уменьшилась по сравнению с аналогичным периодом прошлого года на 7,3% и составила 45,4 тыс. человек, или свыше 76 % от численности постоянного населения города. </w:t>
      </w:r>
      <w:r w:rsidRPr="001735EC">
        <w:rPr>
          <w:rFonts w:ascii="Times New Roman" w:eastAsia="Times New Roman" w:hAnsi="Times New Roman" w:cs="Times New Roman"/>
          <w:sz w:val="24"/>
          <w:szCs w:val="24"/>
          <w:lang w:eastAsia="ru-RU"/>
        </w:rPr>
        <w:br/>
        <w:t xml:space="preserve">     Среднесписочная численность работников уменьшилась по сравнению с аналогичным </w:t>
      </w:r>
      <w:r w:rsidRPr="001735EC">
        <w:rPr>
          <w:rFonts w:ascii="Times New Roman" w:eastAsia="Times New Roman" w:hAnsi="Times New Roman" w:cs="Times New Roman"/>
          <w:sz w:val="24"/>
          <w:szCs w:val="24"/>
          <w:lang w:eastAsia="ru-RU"/>
        </w:rPr>
        <w:lastRenderedPageBreak/>
        <w:t>периодом 2009 года на 7,2% и составила 43,9 тыс. человек. Преобладающая часть занятого населения (около 92,7%) сосредоточена в организациях, не относящихся к субъектам малого предпринимательства.</w:t>
      </w:r>
      <w:r w:rsidRPr="001735EC">
        <w:rPr>
          <w:rFonts w:ascii="Times New Roman" w:eastAsia="Times New Roman" w:hAnsi="Times New Roman" w:cs="Times New Roman"/>
          <w:sz w:val="24"/>
          <w:szCs w:val="24"/>
          <w:lang w:eastAsia="ru-RU"/>
        </w:rPr>
        <w:br/>
        <w:t>     В отраслевом разрезе структура занятых в организациях, не относящимся к субъектам малого предпринимательства характеризуется наибольшей долей работающих в базовых отраслях (добыча нефти и газа, строительство и транспорт), на их долю приходится более 55% работающих. В сфере образования было занято 1,98 тыс. человек, здравоохранения и предоставления социальных услуг - 1,5 тыс. человек, в деятельности по организации отдыха, культуры и спорта - 0,6 тыс. человек, или 4,9%, 3,6% и 1,5% от общей численности работающих в организациях, не относящимся к субъектам малого предпринимательства.</w:t>
      </w:r>
      <w:r w:rsidRPr="001735EC">
        <w:rPr>
          <w:rFonts w:ascii="Times New Roman" w:eastAsia="Times New Roman" w:hAnsi="Times New Roman" w:cs="Times New Roman"/>
          <w:sz w:val="24"/>
          <w:szCs w:val="24"/>
          <w:lang w:eastAsia="ru-RU"/>
        </w:rPr>
        <w:br/>
        <w:t xml:space="preserve">     Влияния финансового кризиса отразились на увеличении числа обращений в органы службы занятости населения. </w:t>
      </w:r>
      <w:r w:rsidRPr="001735EC">
        <w:rPr>
          <w:rFonts w:ascii="Times New Roman" w:eastAsia="Times New Roman" w:hAnsi="Times New Roman" w:cs="Times New Roman"/>
          <w:sz w:val="24"/>
          <w:szCs w:val="24"/>
          <w:lang w:eastAsia="ru-RU"/>
        </w:rPr>
        <w:br/>
        <w:t>     В течение января - марта 2010 года по вопросам трудоустройства в городской центр занятости обратилось 1243 человека, что в 1,3 раза выше, чем в соответствующем периоде 2009 года. Количество безработных, имеющих официальный статус по состоянию на 1 апреля 2010 года, уменьшилось по сравнению с соответствующим периодом прошлого года на 40,3% и составило 401 человек.</w:t>
      </w:r>
      <w:r w:rsidRPr="001735EC">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0,49 процентных пункта с 1,37% на 1 апреля 2009 года до 0,88% от экономически активного населения на 1 апреля 2010 года.</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noProof/>
          <w:sz w:val="24"/>
          <w:szCs w:val="24"/>
          <w:lang w:eastAsia="ru-RU"/>
        </w:rPr>
        <w:drawing>
          <wp:inline distT="0" distB="0" distL="0" distR="0">
            <wp:extent cx="5966460" cy="2773680"/>
            <wp:effectExtent l="0" t="0" r="0" b="7620"/>
            <wp:docPr id="3" name="Рисунок 3" descr="http://old.admkogalym.ru/SetPict.gif?nd=458202900&amp;nh=0&amp;pictid=0100000017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2900&amp;nh=0&amp;pictid=0100000017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1735EC">
        <w:rPr>
          <w:rFonts w:ascii="Times New Roman" w:eastAsia="Times New Roman" w:hAnsi="Times New Roman" w:cs="Times New Roman"/>
          <w:sz w:val="24"/>
          <w:szCs w:val="24"/>
          <w:lang w:eastAsia="ru-RU"/>
        </w:rPr>
        <w:br/>
        <w:t>     - увеличилась доля безработных, имеющих высшее и среднее профессиональное образование, с 33,8% до 50,4%. В то же время доля безработных, имеющих начальное профессиональное, среднее и неполное среднее образование, снизилась с 65,4% до 48,9%;</w:t>
      </w:r>
      <w:r w:rsidRPr="001735EC">
        <w:rPr>
          <w:rFonts w:ascii="Times New Roman" w:eastAsia="Times New Roman" w:hAnsi="Times New Roman" w:cs="Times New Roman"/>
          <w:sz w:val="24"/>
          <w:szCs w:val="24"/>
          <w:lang w:eastAsia="ru-RU"/>
        </w:rPr>
        <w:br/>
        <w:t>     - в численности зарегистрированных безработных граждан доля молодежи в возрасте 16-29 лет, по сравнению с соответствующим периодом прошлого года уменьшилась с 54,7% до 43,9%. Доля безработных мужчин уменьшилась с 59,1% до 58,6%.</w:t>
      </w:r>
      <w:r w:rsidRPr="001735EC">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«Содействие занятости населения на 2009 - 2011 годы».</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Кроме этого наш город, как и все территории округа, принимает непосредственное участие в реализации Программ Ханты-Мансийского автономного округа-Югры.</w:t>
      </w:r>
      <w:r w:rsidRPr="001735EC">
        <w:rPr>
          <w:rFonts w:ascii="Times New Roman" w:eastAsia="Times New Roman" w:hAnsi="Times New Roman" w:cs="Times New Roman"/>
          <w:sz w:val="24"/>
          <w:szCs w:val="24"/>
          <w:lang w:eastAsia="ru-RU"/>
        </w:rPr>
        <w:br/>
        <w:t>     Программа Ханты-Мансийского автономного округа-Югры «Содействие занятости населения на 2008-2010 годы». Заключено 34 договора на 117 человек, трудоустроено 92 человека, в том числе:</w:t>
      </w:r>
      <w:r w:rsidRPr="001735EC">
        <w:rPr>
          <w:rFonts w:ascii="Times New Roman" w:eastAsia="Times New Roman" w:hAnsi="Times New Roman" w:cs="Times New Roman"/>
          <w:sz w:val="24"/>
          <w:szCs w:val="24"/>
          <w:lang w:eastAsia="ru-RU"/>
        </w:rPr>
        <w:br/>
        <w:t>     - из числа безработных и ищущих работу граждан (на общественные работы) - 61 человек;</w:t>
      </w:r>
      <w:r w:rsidRPr="001735EC">
        <w:rPr>
          <w:rFonts w:ascii="Times New Roman" w:eastAsia="Times New Roman" w:hAnsi="Times New Roman" w:cs="Times New Roman"/>
          <w:sz w:val="24"/>
          <w:szCs w:val="24"/>
          <w:lang w:eastAsia="ru-RU"/>
        </w:rPr>
        <w:br/>
        <w:t>     - из числа испытывающих трудности в поиске работы - 8 человек;</w:t>
      </w:r>
      <w:r w:rsidRPr="001735EC">
        <w:rPr>
          <w:rFonts w:ascii="Times New Roman" w:eastAsia="Times New Roman" w:hAnsi="Times New Roman" w:cs="Times New Roman"/>
          <w:sz w:val="24"/>
          <w:szCs w:val="24"/>
          <w:lang w:eastAsia="ru-RU"/>
        </w:rPr>
        <w:br/>
        <w:t>     - из числа выпускников учебных заведений в возрасте до 25 лет - 23 человека.</w:t>
      </w:r>
      <w:r w:rsidRPr="001735EC">
        <w:rPr>
          <w:rFonts w:ascii="Times New Roman" w:eastAsia="Times New Roman" w:hAnsi="Times New Roman" w:cs="Times New Roman"/>
          <w:sz w:val="24"/>
          <w:szCs w:val="24"/>
          <w:lang w:eastAsia="ru-RU"/>
        </w:rPr>
        <w:br/>
        <w:t>     По программе Ханты-Мансийского автономного округа-Югры по стабилизации ситуации на рынке труда на 2010 год» выполнены следующие мероприятия:</w:t>
      </w:r>
      <w:r w:rsidRPr="001735EC">
        <w:rPr>
          <w:rFonts w:ascii="Times New Roman" w:eastAsia="Times New Roman" w:hAnsi="Times New Roman" w:cs="Times New Roman"/>
          <w:sz w:val="24"/>
          <w:szCs w:val="24"/>
          <w:lang w:eastAsia="ru-RU"/>
        </w:rPr>
        <w:br/>
        <w:t>     1. Реализация мероприятия - «Опережающее профессиональное обучение работников в случае угрозы массового увольнения». Направлено на переобучение 2 человека. Переобучение проводится по профессиям (специальностям):</w:t>
      </w:r>
      <w:r w:rsidRPr="001735EC">
        <w:rPr>
          <w:rFonts w:ascii="Times New Roman" w:eastAsia="Times New Roman" w:hAnsi="Times New Roman" w:cs="Times New Roman"/>
          <w:sz w:val="24"/>
          <w:szCs w:val="24"/>
          <w:lang w:eastAsia="ru-RU"/>
        </w:rPr>
        <w:br/>
        <w:t>     - охрана труда, пожарный минимум;</w:t>
      </w:r>
      <w:r w:rsidRPr="001735EC">
        <w:rPr>
          <w:rFonts w:ascii="Times New Roman" w:eastAsia="Times New Roman" w:hAnsi="Times New Roman" w:cs="Times New Roman"/>
          <w:sz w:val="24"/>
          <w:szCs w:val="24"/>
          <w:lang w:eastAsia="ru-RU"/>
        </w:rPr>
        <w:br/>
        <w:t>     - допуск по электробезопасности, ответственный за электрохозяйство.</w:t>
      </w:r>
      <w:r w:rsidRPr="001735EC">
        <w:rPr>
          <w:rFonts w:ascii="Times New Roman" w:eastAsia="Times New Roman" w:hAnsi="Times New Roman" w:cs="Times New Roman"/>
          <w:sz w:val="24"/>
          <w:szCs w:val="24"/>
          <w:lang w:eastAsia="ru-RU"/>
        </w:rPr>
        <w:br/>
        <w:t>     2. Реализация мероприятия - «Организация общественных работ, временного трудоустройства работников, находящихся под угрозой увольнения, а также признанных в установленном порядке безработными и граждан, ищущих работу». За отчётный период трудоустроено 52 человека.</w:t>
      </w:r>
      <w:r w:rsidRPr="001735EC">
        <w:rPr>
          <w:rFonts w:ascii="Times New Roman" w:eastAsia="Times New Roman" w:hAnsi="Times New Roman" w:cs="Times New Roman"/>
          <w:sz w:val="24"/>
          <w:szCs w:val="24"/>
          <w:lang w:eastAsia="ru-RU"/>
        </w:rPr>
        <w:br/>
        <w:t xml:space="preserve">     3. Реализация мероприятия - «Стажировка выпускников образовательных учреждений в целях приобретения ими опыта работы, включая наставничества». </w:t>
      </w:r>
      <w:r w:rsidRPr="001735EC">
        <w:rPr>
          <w:rFonts w:ascii="Times New Roman" w:eastAsia="Times New Roman" w:hAnsi="Times New Roman" w:cs="Times New Roman"/>
          <w:sz w:val="24"/>
          <w:szCs w:val="24"/>
          <w:lang w:eastAsia="ru-RU"/>
        </w:rPr>
        <w:br/>
        <w:t>     Трудоустроено 32 человека, из них: 9 - из числа безработных; 23 - из числа ищущих работу.</w:t>
      </w:r>
      <w:r w:rsidRPr="001735EC">
        <w:rPr>
          <w:rFonts w:ascii="Times New Roman" w:eastAsia="Times New Roman" w:hAnsi="Times New Roman" w:cs="Times New Roman"/>
          <w:sz w:val="24"/>
          <w:szCs w:val="24"/>
          <w:lang w:eastAsia="ru-RU"/>
        </w:rPr>
        <w:br/>
        <w:t>     4. Реализация мероприятия - «Содействие трудоустройству инвалидов». Трудоустроено - 2 человека в счёт квоты.</w:t>
      </w:r>
      <w:r w:rsidRPr="001735EC">
        <w:rPr>
          <w:rFonts w:ascii="Times New Roman" w:eastAsia="Times New Roman" w:hAnsi="Times New Roman" w:cs="Times New Roman"/>
          <w:sz w:val="24"/>
          <w:szCs w:val="24"/>
          <w:lang w:eastAsia="ru-RU"/>
        </w:rPr>
        <w:br/>
        <w:t>     5. Реализация мероприятия -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Двадцати предоставлена услуга по самозанятости; 20 человек обратились за предоставлением субсидии по программе стабилизации. Из них:</w:t>
      </w:r>
      <w:r w:rsidRPr="001735EC">
        <w:rPr>
          <w:rFonts w:ascii="Times New Roman" w:eastAsia="Times New Roman" w:hAnsi="Times New Roman" w:cs="Times New Roman"/>
          <w:sz w:val="24"/>
          <w:szCs w:val="24"/>
          <w:lang w:eastAsia="ru-RU"/>
        </w:rPr>
        <w:br/>
        <w:t>     - 11 человек открыли собственное дело и получили субсидию (из них четыре предпринимателя, открывшие собственное дело в 2010 году, создали 6 дополнительных рабочих мест);</w:t>
      </w:r>
      <w:r w:rsidRPr="001735EC">
        <w:rPr>
          <w:rFonts w:ascii="Times New Roman" w:eastAsia="Times New Roman" w:hAnsi="Times New Roman" w:cs="Times New Roman"/>
          <w:sz w:val="24"/>
          <w:szCs w:val="24"/>
          <w:lang w:eastAsia="ru-RU"/>
        </w:rPr>
        <w:br/>
        <w:t>     - 4 человека в настоящее время проходят регистрацию в налоговых органах в качестве индивидуального предпринимателя;</w:t>
      </w:r>
      <w:r w:rsidRPr="001735EC">
        <w:rPr>
          <w:rFonts w:ascii="Times New Roman" w:eastAsia="Times New Roman" w:hAnsi="Times New Roman" w:cs="Times New Roman"/>
          <w:sz w:val="24"/>
          <w:szCs w:val="24"/>
          <w:lang w:eastAsia="ru-RU"/>
        </w:rPr>
        <w:br/>
        <w:t>     - бизнес планы пятерых безработных находятся на рассмотрении в филиале Фонда поддержки малого предпринимательства Югры в городе Сургуте.</w:t>
      </w:r>
      <w:r w:rsidRPr="001735EC">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1735EC">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1735EC">
        <w:rPr>
          <w:rFonts w:ascii="Times New Roman" w:eastAsia="Times New Roman" w:hAnsi="Times New Roman" w:cs="Times New Roman"/>
          <w:sz w:val="24"/>
          <w:szCs w:val="24"/>
          <w:lang w:eastAsia="ru-RU"/>
        </w:rPr>
        <w:br/>
        <w:t>     Потребность работодателей в работниках, заявленная в центр занятости населения, увеличилась на 12% по сравнению с 1 апрелем 2009 года и составила на 1 апреля 2010 года 387 человек. Из них заявленная потребность в рабочих профессиях составила 45,2% от общей численности вакансий.</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уменьшился с 1,8 на 1 апреля 2009 года до 1,0 на 1 апреля 2010 года.</w:t>
      </w:r>
      <w:r w:rsidRPr="001735EC">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36 человек.</w:t>
      </w:r>
      <w:r w:rsidRPr="001735EC">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1735EC">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61 человек.</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t xml:space="preserve">УРОВЕНЬ ЖИЗНИ НАСЕЛЕНИЯ </w:t>
      </w:r>
    </w:p>
    <w:p w:rsidR="001735EC" w:rsidRPr="001735EC" w:rsidRDefault="001735EC" w:rsidP="001735EC">
      <w:pPr>
        <w:spacing w:before="100" w:beforeAutospacing="1" w:after="240"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По предварительным данным среднемесячные доходы на 1 жителя сложились в размере 33 441 рублей (в  1 квартале 2009 года - 32 278 рублей).</w:t>
      </w:r>
      <w:r w:rsidRPr="001735EC">
        <w:rPr>
          <w:rFonts w:ascii="Times New Roman" w:eastAsia="Times New Roman" w:hAnsi="Times New Roman" w:cs="Times New Roman"/>
          <w:sz w:val="24"/>
          <w:szCs w:val="24"/>
          <w:lang w:eastAsia="ru-RU"/>
        </w:rPr>
        <w:br/>
        <w:t>     Реальные располагаемые денежные доходы населения составили  93,8% к соответствующему уровню прошлого года.</w:t>
      </w:r>
      <w:r w:rsidRPr="001735EC">
        <w:rPr>
          <w:rFonts w:ascii="Times New Roman" w:eastAsia="Times New Roman" w:hAnsi="Times New Roman" w:cs="Times New Roman"/>
          <w:sz w:val="24"/>
          <w:szCs w:val="24"/>
          <w:lang w:eastAsia="ru-RU"/>
        </w:rPr>
        <w:br/>
        <w:t>     Среднемесячная заработная плата по организациям, не относящимся к субъектам малого предпринимательства, по предварительным данным,  увеличилась на 3,0 % и составила 42 558 рублей. Вместе с тем, реальная заработная плата с учётом инфляции снизилась на 6,9% и составила 93,1% к аналогичному периоду 2009 года.</w:t>
      </w:r>
      <w:r w:rsidRPr="001735EC">
        <w:rPr>
          <w:rFonts w:ascii="Times New Roman" w:eastAsia="Times New Roman" w:hAnsi="Times New Roman" w:cs="Times New Roman"/>
          <w:sz w:val="24"/>
          <w:szCs w:val="24"/>
          <w:lang w:eastAsia="ru-RU"/>
        </w:rPr>
        <w:br/>
        <w:t>     Наиболее высокий уровень оплаты труда за январь-февраль 2010 года отмечался на предприятиях, осуществляющих добычу сырой нефти и природного газа; предоставление услуг в этих областях, где среднемесячная заработная плата составила 47 421 рублей.</w:t>
      </w:r>
      <w:r w:rsidRPr="001735EC">
        <w:rPr>
          <w:rFonts w:ascii="Times New Roman" w:eastAsia="Times New Roman" w:hAnsi="Times New Roman" w:cs="Times New Roman"/>
          <w:sz w:val="24"/>
          <w:szCs w:val="24"/>
          <w:lang w:eastAsia="ru-RU"/>
        </w:rPr>
        <w:br/>
        <w:t xml:space="preserve">     Среди других видов деятельности достаточно высокий уровень заработной платы за январь - февраль 2010 года сложился также в сфере производство электрооборудования, электронного и оптического оборудования - 44 583 рубля, на транспорте и связи - 44 321 рубль. </w:t>
      </w:r>
      <w:r w:rsidRPr="001735EC">
        <w:rPr>
          <w:rFonts w:ascii="Times New Roman" w:eastAsia="Times New Roman" w:hAnsi="Times New Roman" w:cs="Times New Roman"/>
          <w:sz w:val="24"/>
          <w:szCs w:val="24"/>
          <w:lang w:eastAsia="ru-RU"/>
        </w:rPr>
        <w:br/>
        <w:t>      Наиболее низкий уровень заработной платы на предприятиях прочего производства - 19 625 рублей.</w:t>
      </w:r>
      <w:r w:rsidRPr="001735EC">
        <w:rPr>
          <w:rFonts w:ascii="Times New Roman" w:eastAsia="Times New Roman" w:hAnsi="Times New Roman" w:cs="Times New Roman"/>
          <w:sz w:val="24"/>
          <w:szCs w:val="24"/>
          <w:lang w:eastAsia="ru-RU"/>
        </w:rPr>
        <w:br/>
        <w:t>     Уровень среднемесячной заработной платы за январь - февраль 2010 года работников здравоохранения и предоставления социальных услуг составил 26 368 рублей, работников образования - 22 553 рубля, в деятельности по организации отдыха, культуры и спорта - 23 858 рублей.</w:t>
      </w:r>
      <w:r w:rsidRPr="001735EC">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предприятий промышленного производства в январе - феврале 2010 года составило: 57,2%, 49,0%, 51,8% соответственно.</w:t>
      </w:r>
      <w:r w:rsidRPr="001735EC">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1735EC">
        <w:rPr>
          <w:rFonts w:ascii="Times New Roman" w:eastAsia="Times New Roman" w:hAnsi="Times New Roman" w:cs="Times New Roman"/>
          <w:sz w:val="24"/>
          <w:szCs w:val="24"/>
          <w:lang w:eastAsia="ru-RU"/>
        </w:rPr>
        <w:br/>
        <w:t>     Одним из основных направлений государственной политики в сфере пенсионного обеспечения  является комплекс мер, направленный на дальнейшее улучшение положения всех категорий пенсионеров. С 1 декабря 2009 года увеличена базовая часть трудовой пенсии по старости  на 31,4%.</w:t>
      </w:r>
      <w:r w:rsidRPr="001735EC">
        <w:rPr>
          <w:rFonts w:ascii="Times New Roman" w:eastAsia="Times New Roman" w:hAnsi="Times New Roman" w:cs="Times New Roman"/>
          <w:sz w:val="24"/>
          <w:szCs w:val="24"/>
          <w:lang w:eastAsia="ru-RU"/>
        </w:rPr>
        <w:br/>
        <w:t>     В результате средний размер государственной пенсии по состоянию на 1 апреля 2010 года в городе Когалыме сложился в размере 11 788,8 рублей, что на 41,9% выше аналогичного периода прошлого года.</w:t>
      </w:r>
      <w:r w:rsidRPr="001735EC">
        <w:rPr>
          <w:rFonts w:ascii="Times New Roman" w:eastAsia="Times New Roman" w:hAnsi="Times New Roman" w:cs="Times New Roman"/>
          <w:sz w:val="24"/>
          <w:szCs w:val="24"/>
          <w:lang w:eastAsia="ru-RU"/>
        </w:rPr>
        <w:br/>
        <w:t xml:space="preserve">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w:t>
      </w:r>
      <w:r w:rsidRPr="001735EC">
        <w:rPr>
          <w:rFonts w:ascii="Times New Roman" w:eastAsia="Times New Roman" w:hAnsi="Times New Roman" w:cs="Times New Roman"/>
          <w:sz w:val="24"/>
          <w:szCs w:val="24"/>
          <w:lang w:eastAsia="ru-RU"/>
        </w:rPr>
        <w:lastRenderedPageBreak/>
        <w:t>окружного и городского бюджетов составил на 1 апреля 2010 года 12 099 рублей, что выше соответствующего периода 2009 года на 40,6% и составляет 182,5% к величине прожиточного минимума для пенсионера (на 1 апреля 2009 года - 136,7%).</w:t>
      </w:r>
      <w:r w:rsidRPr="001735EC">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9 663 человека или 16,2% от общей численности населения города, увеличившись на 6,5% по сравнению с аналогичным периодом 2009 года.</w:t>
      </w:r>
      <w:r w:rsidRPr="001735EC">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01.04.2009г. и на 01.04.2010 года сложились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138"/>
        <w:gridCol w:w="1139"/>
        <w:gridCol w:w="858"/>
        <w:gridCol w:w="1045"/>
        <w:gridCol w:w="1328"/>
        <w:gridCol w:w="967"/>
      </w:tblGrid>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Показатель </w:t>
            </w:r>
          </w:p>
        </w:tc>
        <w:tc>
          <w:tcPr>
            <w:tcW w:w="120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Всего пенсионеров </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Тем роста, %</w:t>
            </w:r>
          </w:p>
        </w:tc>
        <w:tc>
          <w:tcPr>
            <w:tcW w:w="1250" w:type="pct"/>
            <w:gridSpan w:val="2"/>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Средний размер пенсии, рублей </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Тем роста, %</w:t>
            </w:r>
          </w:p>
        </w:tc>
      </w:tr>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after="0"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на </w:t>
            </w:r>
            <w:r w:rsidRPr="001735EC">
              <w:rPr>
                <w:rFonts w:ascii="Times New Roman" w:eastAsia="Times New Roman" w:hAnsi="Times New Roman" w:cs="Times New Roman"/>
                <w:sz w:val="24"/>
                <w:szCs w:val="24"/>
                <w:lang w:eastAsia="ru-RU"/>
              </w:rPr>
              <w:br/>
              <w:t>1.04.09.</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на</w:t>
            </w:r>
            <w:r w:rsidRPr="001735EC">
              <w:rPr>
                <w:rFonts w:ascii="Times New Roman" w:eastAsia="Times New Roman" w:hAnsi="Times New Roman" w:cs="Times New Roman"/>
                <w:sz w:val="24"/>
                <w:szCs w:val="24"/>
                <w:lang w:eastAsia="ru-RU"/>
              </w:rPr>
              <w:br/>
              <w:t>1.04.10.</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after="0"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на </w:t>
            </w:r>
            <w:r w:rsidRPr="001735EC">
              <w:rPr>
                <w:rFonts w:ascii="Times New Roman" w:eastAsia="Times New Roman" w:hAnsi="Times New Roman" w:cs="Times New Roman"/>
                <w:sz w:val="24"/>
                <w:szCs w:val="24"/>
                <w:lang w:eastAsia="ru-RU"/>
              </w:rPr>
              <w:br/>
              <w:t>1.04.09.</w:t>
            </w:r>
          </w:p>
        </w:tc>
        <w:tc>
          <w:tcPr>
            <w:tcW w:w="7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на</w:t>
            </w:r>
            <w:r w:rsidRPr="001735EC">
              <w:rPr>
                <w:rFonts w:ascii="Times New Roman" w:eastAsia="Times New Roman" w:hAnsi="Times New Roman" w:cs="Times New Roman"/>
                <w:sz w:val="24"/>
                <w:szCs w:val="24"/>
                <w:lang w:eastAsia="ru-RU"/>
              </w:rPr>
              <w:br/>
              <w:t>1.04.10.</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after="0"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p>
        </w:tc>
      </w:tr>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Всего пенсионеров </w:t>
            </w:r>
          </w:p>
        </w:tc>
        <w:tc>
          <w:tcPr>
            <w:tcW w:w="6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9 072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9 663 </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106,5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8 310,0 </w:t>
            </w:r>
          </w:p>
        </w:tc>
        <w:tc>
          <w:tcPr>
            <w:tcW w:w="7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11 788,8 </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141,9 </w:t>
            </w:r>
          </w:p>
        </w:tc>
      </w:tr>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по старости </w:t>
            </w:r>
          </w:p>
        </w:tc>
        <w:tc>
          <w:tcPr>
            <w:tcW w:w="6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7 666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8 297 </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108,2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8 944,8 </w:t>
            </w:r>
          </w:p>
        </w:tc>
        <w:tc>
          <w:tcPr>
            <w:tcW w:w="7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12 588,2 </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140,7 </w:t>
            </w:r>
          </w:p>
        </w:tc>
      </w:tr>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по инвалидности </w:t>
            </w:r>
          </w:p>
        </w:tc>
        <w:tc>
          <w:tcPr>
            <w:tcW w:w="6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398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377 </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94,7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6 347,8 </w:t>
            </w:r>
          </w:p>
        </w:tc>
        <w:tc>
          <w:tcPr>
            <w:tcW w:w="7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9 274,1 </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146,1 </w:t>
            </w:r>
          </w:p>
        </w:tc>
      </w:tr>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по случаю потери кормильца </w:t>
            </w:r>
          </w:p>
        </w:tc>
        <w:tc>
          <w:tcPr>
            <w:tcW w:w="6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565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495 </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87,6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3 818,1 </w:t>
            </w:r>
          </w:p>
        </w:tc>
        <w:tc>
          <w:tcPr>
            <w:tcW w:w="7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5 409,1 </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141,7 </w:t>
            </w:r>
          </w:p>
        </w:tc>
      </w:tr>
      <w:tr w:rsidR="001735EC" w:rsidRPr="001735EC" w:rsidTr="001735EC">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6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443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494 </w:t>
            </w:r>
          </w:p>
        </w:tc>
        <w:tc>
          <w:tcPr>
            <w:tcW w:w="4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111,5 </w:t>
            </w:r>
          </w:p>
        </w:tc>
        <w:tc>
          <w:tcPr>
            <w:tcW w:w="55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4 816,1 </w:t>
            </w:r>
          </w:p>
        </w:tc>
        <w:tc>
          <w:tcPr>
            <w:tcW w:w="7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6 674,4 </w:t>
            </w:r>
          </w:p>
        </w:tc>
        <w:tc>
          <w:tcPr>
            <w:tcW w:w="500" w:type="pct"/>
            <w:tcBorders>
              <w:top w:val="single" w:sz="6" w:space="0" w:color="000000"/>
              <w:left w:val="single" w:sz="6" w:space="0" w:color="000000"/>
              <w:bottom w:val="single" w:sz="6" w:space="0" w:color="000000"/>
              <w:right w:val="single" w:sz="6" w:space="0" w:color="000000"/>
            </w:tcBorders>
            <w:hideMark/>
          </w:tcPr>
          <w:p w:rsidR="001735EC" w:rsidRPr="001735EC" w:rsidRDefault="001735EC" w:rsidP="001735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xml:space="preserve">138,6 </w:t>
            </w:r>
          </w:p>
        </w:tc>
      </w:tr>
    </w:tbl>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t>ФИНАНСЫ</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i/>
          <w:iCs/>
          <w:sz w:val="24"/>
          <w:szCs w:val="24"/>
          <w:lang w:eastAsia="ru-RU"/>
        </w:rPr>
        <w:t>Финансы организаций</w:t>
      </w:r>
      <w:r w:rsidRPr="001735EC">
        <w:rPr>
          <w:rFonts w:ascii="Times New Roman" w:eastAsia="Times New Roman" w:hAnsi="Times New Roman" w:cs="Times New Roman"/>
          <w:sz w:val="24"/>
          <w:szCs w:val="24"/>
          <w:lang w:eastAsia="ru-RU"/>
        </w:rPr>
        <w:t xml:space="preserve">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По состоянию на 1 апреля 2010 года по основным видам экономической деятельности  крупных и средних организаций города, по оценке, получен положительный сальдированный финансовый результат в размере 28,0 млрд. рублей, или 112% к уровню соответствующего периода 2009 года.</w:t>
      </w:r>
      <w:r w:rsidRPr="001735EC">
        <w:rPr>
          <w:rFonts w:ascii="Times New Roman" w:eastAsia="Times New Roman" w:hAnsi="Times New Roman" w:cs="Times New Roman"/>
          <w:sz w:val="24"/>
          <w:szCs w:val="24"/>
          <w:lang w:eastAsia="ru-RU"/>
        </w:rPr>
        <w:br/>
        <w:t>     Прибыль, полученная крупными и средними организациями основных отраслей города, за январь - март 2010 года, по предварительным данным, составила 28,2  млрд. рублей, понесенные организациями за данный период убытки - 0,2 млрд. рублей.</w:t>
      </w:r>
      <w:r w:rsidRPr="001735EC">
        <w:rPr>
          <w:rFonts w:ascii="Times New Roman" w:eastAsia="Times New Roman" w:hAnsi="Times New Roman" w:cs="Times New Roman"/>
          <w:sz w:val="24"/>
          <w:szCs w:val="24"/>
          <w:lang w:eastAsia="ru-RU"/>
        </w:rPr>
        <w:br/>
        <w:t>     Удельный вес убыточных организаций за январь - март 2010 года составил 40% от общего числа крупных и средних организаций города Когалыма.</w:t>
      </w:r>
      <w:r w:rsidRPr="001735EC">
        <w:rPr>
          <w:rFonts w:ascii="Times New Roman" w:eastAsia="Times New Roman" w:hAnsi="Times New Roman" w:cs="Times New Roman"/>
          <w:sz w:val="24"/>
          <w:szCs w:val="24"/>
          <w:lang w:eastAsia="ru-RU"/>
        </w:rPr>
        <w:br/>
        <w:t>     Основные изменения состояния платежей и расчетов в организациях, произошедшие в январе - марте 2010 года, заключались в увеличении кредиторской и дебиторской задолженности по сравнению с аналогичным периодом 2009 года.</w:t>
      </w:r>
      <w:r w:rsidRPr="001735EC">
        <w:rPr>
          <w:rFonts w:ascii="Times New Roman" w:eastAsia="Times New Roman" w:hAnsi="Times New Roman" w:cs="Times New Roman"/>
          <w:sz w:val="24"/>
          <w:szCs w:val="24"/>
          <w:lang w:eastAsia="ru-RU"/>
        </w:rPr>
        <w:br/>
        <w:t xml:space="preserve">     По состоянию на 1 апреля 2010 года кредиторская задолженность организаций города </w:t>
      </w:r>
      <w:r w:rsidRPr="001735EC">
        <w:rPr>
          <w:rFonts w:ascii="Times New Roman" w:eastAsia="Times New Roman" w:hAnsi="Times New Roman" w:cs="Times New Roman"/>
          <w:sz w:val="24"/>
          <w:szCs w:val="24"/>
          <w:lang w:eastAsia="ru-RU"/>
        </w:rPr>
        <w:lastRenderedPageBreak/>
        <w:t xml:space="preserve">по предварительной оценке составила 46,0 млрд. рублей, увеличившись на 25,3% по сравнению с соответствующим периодом 2009 года. </w:t>
      </w:r>
      <w:r w:rsidRPr="001735EC">
        <w:rPr>
          <w:rFonts w:ascii="Times New Roman" w:eastAsia="Times New Roman" w:hAnsi="Times New Roman" w:cs="Times New Roman"/>
          <w:sz w:val="24"/>
          <w:szCs w:val="24"/>
          <w:lang w:eastAsia="ru-RU"/>
        </w:rPr>
        <w:br/>
        <w:t>     Просроченная кредиторская задолженность на 1 апреля 2010 года составила 3,0 млрд. рублей, что выше показателя на 1 апреля 2009 года на 31,2%. Удельный вес просроченной задолженности к общему объему кредиторской задолженности составил 6,5%.</w:t>
      </w:r>
      <w:r w:rsidRPr="001735EC">
        <w:rPr>
          <w:rFonts w:ascii="Times New Roman" w:eastAsia="Times New Roman" w:hAnsi="Times New Roman" w:cs="Times New Roman"/>
          <w:sz w:val="24"/>
          <w:szCs w:val="24"/>
          <w:lang w:eastAsia="ru-RU"/>
        </w:rPr>
        <w:br/>
        <w:t xml:space="preserve">     Дебиторская задолженность предприятий и организаций города на 1 апреля 2010 года составила 68,6 млрд. рублей увеличившись на 29,1% к уровню аналогичного периода 2009 года. </w:t>
      </w:r>
      <w:r w:rsidRPr="001735EC">
        <w:rPr>
          <w:rFonts w:ascii="Times New Roman" w:eastAsia="Times New Roman" w:hAnsi="Times New Roman" w:cs="Times New Roman"/>
          <w:sz w:val="24"/>
          <w:szCs w:val="24"/>
          <w:lang w:eastAsia="ru-RU"/>
        </w:rPr>
        <w:br/>
        <w:t>     Просроченная дебиторская задолженность на 1 апреля 2010 года составила 6,5 млрд. рублей, что выше аналогичного показателя 2009 года на 32,0%. Удельный вес просроченной задолженности к общему объему дебиторской задолженности составил 9,4%.</w:t>
      </w:r>
    </w:p>
    <w:p w:rsidR="001735EC" w:rsidRPr="001735EC" w:rsidRDefault="001735EC" w:rsidP="001735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t>ПОТРЕБИТЕЛЬСКИЙ РЫНОК</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i/>
          <w:iCs/>
          <w:sz w:val="24"/>
          <w:szCs w:val="24"/>
          <w:lang w:eastAsia="ru-RU"/>
        </w:rPr>
        <w:t>Торговля</w:t>
      </w:r>
      <w:r w:rsidRPr="001735EC">
        <w:rPr>
          <w:rFonts w:ascii="Times New Roman" w:eastAsia="Times New Roman" w:hAnsi="Times New Roman" w:cs="Times New Roman"/>
          <w:sz w:val="24"/>
          <w:szCs w:val="24"/>
          <w:lang w:eastAsia="ru-RU"/>
        </w:rPr>
        <w:t xml:space="preserve"> </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В 1 квартале 2010 года отмечается снижение динамики объёмов продаж. Как следствие, оборот розничной торговли за январь - март 2010 года составил 94,3% в сопоставимых ценах к соответствующему периоду прошлого года.</w:t>
      </w:r>
      <w:r w:rsidRPr="001735EC">
        <w:rPr>
          <w:rFonts w:ascii="Times New Roman" w:eastAsia="Times New Roman" w:hAnsi="Times New Roman" w:cs="Times New Roman"/>
          <w:sz w:val="24"/>
          <w:szCs w:val="24"/>
          <w:lang w:eastAsia="ru-RU"/>
        </w:rPr>
        <w:br/>
        <w:t>     В расчёте на одного жителя в отчётном периоде реализовано потребительских товаров на сумму 45,7 тыс. рублей (в январе - марте 2009 года - 32,0 тыс. рублей).</w:t>
      </w:r>
      <w:r w:rsidRPr="001735EC">
        <w:rPr>
          <w:rFonts w:ascii="Times New Roman" w:eastAsia="Times New Roman" w:hAnsi="Times New Roman" w:cs="Times New Roman"/>
          <w:sz w:val="24"/>
          <w:szCs w:val="24"/>
          <w:lang w:eastAsia="ru-RU"/>
        </w:rPr>
        <w:br/>
        <w:t>     По состоянию на 1 апреля 2010 года на территории города функционирует 108 стационарных предприятий розничной торговли, торговой площадью 17,6 тыс. кв. метров, 25 мелкорозничных торговых предприятий, торговой площадью 0,29 тыс. кв. метров. Также в городе функционирует торговый комплекс «Миллениум», в который входят:</w:t>
      </w:r>
      <w:r w:rsidRPr="001735EC">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225 торговых мест  торговой площадью 1,6 тыс. кв. метров; </w:t>
      </w:r>
      <w:r w:rsidRPr="001735EC">
        <w:rPr>
          <w:rFonts w:ascii="Times New Roman" w:eastAsia="Times New Roman" w:hAnsi="Times New Roman" w:cs="Times New Roman"/>
          <w:sz w:val="24"/>
          <w:szCs w:val="24"/>
          <w:lang w:eastAsia="ru-RU"/>
        </w:rPr>
        <w:br/>
        <w:t xml:space="preserve">     - рынок, расположенный по адресу: ул. Южная, 7 на, 378 торговых мест торговой площадью 2,9 тыс. кв. метров. </w:t>
      </w:r>
      <w:r w:rsidRPr="001735EC">
        <w:rPr>
          <w:rFonts w:ascii="Times New Roman" w:eastAsia="Times New Roman" w:hAnsi="Times New Roman" w:cs="Times New Roman"/>
          <w:sz w:val="24"/>
          <w:szCs w:val="24"/>
          <w:lang w:eastAsia="ru-RU"/>
        </w:rPr>
        <w:br/>
        <w:t>     Обеспеченность торговыми площадями составляет 107,6%.</w:t>
      </w:r>
      <w:r w:rsidRPr="001735EC">
        <w:rPr>
          <w:rFonts w:ascii="Times New Roman" w:eastAsia="Times New Roman" w:hAnsi="Times New Roman" w:cs="Times New Roman"/>
          <w:sz w:val="24"/>
          <w:szCs w:val="24"/>
          <w:lang w:eastAsia="ru-RU"/>
        </w:rPr>
        <w:br/>
        <w:t>     В 1 квартале 2010 года введены в эксплуатацию 2 магазина с торговой площадью 97,3 кв. м.  Всего в течение 2010 года планируется ввод в эксплуатацию ещё 2-х магазинов. Вновь открывающиеся магазины работают как методом самообслуживания, так и традиционным.</w:t>
      </w:r>
      <w:r w:rsidRPr="001735EC">
        <w:rPr>
          <w:rFonts w:ascii="Times New Roman" w:eastAsia="Times New Roman" w:hAnsi="Times New Roman" w:cs="Times New Roman"/>
          <w:sz w:val="24"/>
          <w:szCs w:val="24"/>
          <w:lang w:eastAsia="ru-RU"/>
        </w:rPr>
        <w:br/>
        <w:t>     Небольшая сеть мелкорозничной торговли представлена в виде трех павильонов и 22 киосков. В летний период времени года предполагается размещение палаток для реализации плодоовощной продукции.</w:t>
      </w:r>
      <w:r w:rsidRPr="001735EC">
        <w:rPr>
          <w:rFonts w:ascii="Times New Roman" w:eastAsia="Times New Roman" w:hAnsi="Times New Roman" w:cs="Times New Roman"/>
          <w:sz w:val="24"/>
          <w:szCs w:val="24"/>
          <w:lang w:eastAsia="ru-RU"/>
        </w:rPr>
        <w:br/>
        <w:t xml:space="preserve">     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несколько сетевых магазинов федерального значения - это  салон «Л-Этуаль» и магазин «ДОМО», салон «Евросеть». 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«Норд», «Адамас» и универсамы «Росич». </w:t>
      </w:r>
      <w:r w:rsidRPr="001735EC">
        <w:rPr>
          <w:rFonts w:ascii="Times New Roman" w:eastAsia="Times New Roman" w:hAnsi="Times New Roman" w:cs="Times New Roman"/>
          <w:sz w:val="24"/>
          <w:szCs w:val="24"/>
          <w:lang w:eastAsia="ru-RU"/>
        </w:rPr>
        <w:br/>
        <w:t xml:space="preserve">     В городе Когалыме развита сеть магазинов с небольшой торговой площадью, так называемой «шаговой доступности» (25-75 кв. м торговой площади). Это очень удобно </w:t>
      </w:r>
      <w:r w:rsidRPr="001735EC">
        <w:rPr>
          <w:rFonts w:ascii="Times New Roman" w:eastAsia="Times New Roman" w:hAnsi="Times New Roman" w:cs="Times New Roman"/>
          <w:sz w:val="24"/>
          <w:szCs w:val="24"/>
          <w:lang w:eastAsia="ru-RU"/>
        </w:rPr>
        <w:lastRenderedPageBreak/>
        <w:t>для покупателей, когда в 10 минутах ходьбы от дома можно приобрести товары первой необходимости. Но на сегодняшний день такие магазины расположены, как правило,  в приспособленных помещениях.</w:t>
      </w:r>
      <w:r w:rsidRPr="001735EC">
        <w:rPr>
          <w:rFonts w:ascii="Times New Roman" w:eastAsia="Times New Roman" w:hAnsi="Times New Roman" w:cs="Times New Roman"/>
          <w:sz w:val="24"/>
          <w:szCs w:val="24"/>
          <w:lang w:eastAsia="ru-RU"/>
        </w:rPr>
        <w:br/>
        <w:t>     20 магазинов - это 18,5% от общего количества магазинов, расположены в подвальных помещениях,  72 магазина или 66,7% в капитальном приспособленном исполнении, 36 магазинов (33,3%)  в капитальном типовом.  </w:t>
      </w:r>
      <w:r w:rsidRPr="001735EC">
        <w:rPr>
          <w:rFonts w:ascii="Times New Roman" w:eastAsia="Times New Roman" w:hAnsi="Times New Roman" w:cs="Times New Roman"/>
          <w:sz w:val="24"/>
          <w:szCs w:val="24"/>
          <w:lang w:eastAsia="ru-RU"/>
        </w:rPr>
        <w:br/>
        <w:t xml:space="preserve">     В соответствии с планом - графиком проведения ярмарок в 2010 году будет организовано 15 ярмарок, в том числе ярмарка по реализации плодоовощной продукции в осенне-летний период года, в которой  будут участвовать хозяйствующие субъекты в сфере торговли и сельхозпроизводители  юга Тюменской области.  Ярмарки в основном тематические и их участниками   являются предприятия города и иногородние  предприниматели. В 1 квартале 2010 года проведено 3 ярмарки. </w:t>
      </w:r>
      <w:r w:rsidRPr="001735EC">
        <w:rPr>
          <w:rFonts w:ascii="Times New Roman" w:eastAsia="Times New Roman" w:hAnsi="Times New Roman" w:cs="Times New Roman"/>
          <w:sz w:val="24"/>
          <w:szCs w:val="24"/>
          <w:lang w:eastAsia="ru-RU"/>
        </w:rPr>
        <w:br/>
        <w:t>     В городе действует 3 предприятия оптовой торговли площадью 7,8 тыс. кв. м, из них все предприятия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r w:rsidRPr="001735EC">
        <w:rPr>
          <w:rFonts w:ascii="Times New Roman" w:eastAsia="Times New Roman" w:hAnsi="Times New Roman" w:cs="Times New Roman"/>
          <w:sz w:val="24"/>
          <w:szCs w:val="24"/>
          <w:lang w:eastAsia="ru-RU"/>
        </w:rPr>
        <w:br/>
        <w:t>     За январь - март 2010 года оборот общественного питания составил 88,0% в сопоставимых ценах к соответствующему периоду прошлого года.</w:t>
      </w:r>
      <w:r w:rsidRPr="001735EC">
        <w:rPr>
          <w:rFonts w:ascii="Times New Roman" w:eastAsia="Times New Roman" w:hAnsi="Times New Roman" w:cs="Times New Roman"/>
          <w:sz w:val="24"/>
          <w:szCs w:val="24"/>
          <w:lang w:eastAsia="ru-RU"/>
        </w:rPr>
        <w:br/>
        <w:t>     В расчете на душу населения оборот общественного питания в городе составляет 6,5 тыс. рублей (в январе - марте 2009 года - 4,8 тыс. рублей).</w:t>
      </w:r>
      <w:r w:rsidRPr="001735EC">
        <w:rPr>
          <w:rFonts w:ascii="Times New Roman" w:eastAsia="Times New Roman" w:hAnsi="Times New Roman" w:cs="Times New Roman"/>
          <w:sz w:val="24"/>
          <w:szCs w:val="24"/>
          <w:lang w:eastAsia="ru-RU"/>
        </w:rPr>
        <w:br/>
        <w:t>     По состоянию на 1 апреля 2010 года в городе осуществляли свою деятельность  150 предприятий общественного питания, общим количеством посадочных мест 6003. Из них 42 предприятий общедоступной сети на 1569  посадочных мест.</w:t>
      </w:r>
      <w:r w:rsidRPr="001735EC">
        <w:rPr>
          <w:rFonts w:ascii="Times New Roman" w:eastAsia="Times New Roman" w:hAnsi="Times New Roman" w:cs="Times New Roman"/>
          <w:sz w:val="24"/>
          <w:szCs w:val="24"/>
          <w:lang w:eastAsia="ru-RU"/>
        </w:rPr>
        <w:br/>
        <w:t xml:space="preserve">     Обеспеченность посадочными местами по состоянию на 1 апреля 2010 года составляет 66% от норматива </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noProof/>
          <w:sz w:val="24"/>
          <w:szCs w:val="24"/>
          <w:lang w:eastAsia="ru-RU"/>
        </w:rPr>
        <w:drawing>
          <wp:inline distT="0" distB="0" distL="0" distR="0">
            <wp:extent cx="5623560" cy="3185160"/>
            <wp:effectExtent l="0" t="0" r="0" b="0"/>
            <wp:docPr id="2" name="Рисунок 2" descr="http://old.admkogalym.ru/SetPict.gif?nd=458202900&amp;nh=0&amp;pictid=010000001G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2900&amp;nh=0&amp;pictid=010000001G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Состояние материально - технической базы предприятий общественного питания на 1 апреля 2010 года представлено следующим образом:</w:t>
      </w:r>
      <w:r w:rsidRPr="001735EC">
        <w:rPr>
          <w:rFonts w:ascii="Times New Roman" w:eastAsia="Times New Roman" w:hAnsi="Times New Roman" w:cs="Times New Roman"/>
          <w:sz w:val="24"/>
          <w:szCs w:val="24"/>
          <w:lang w:eastAsia="ru-RU"/>
        </w:rPr>
        <w:br/>
        <w:t>     - 84 предприятий (56%) функционируют в зданиях капитального исполнения;</w:t>
      </w:r>
      <w:r w:rsidRPr="001735EC">
        <w:rPr>
          <w:rFonts w:ascii="Times New Roman" w:eastAsia="Times New Roman" w:hAnsi="Times New Roman" w:cs="Times New Roman"/>
          <w:sz w:val="24"/>
          <w:szCs w:val="24"/>
          <w:lang w:eastAsia="ru-RU"/>
        </w:rPr>
        <w:br/>
        <w:t>     - 18 предприятий (12%) функционируют в зданиях блочного типа;</w:t>
      </w:r>
      <w:r w:rsidRPr="001735EC">
        <w:rPr>
          <w:rFonts w:ascii="Times New Roman" w:eastAsia="Times New Roman" w:hAnsi="Times New Roman" w:cs="Times New Roman"/>
          <w:sz w:val="24"/>
          <w:szCs w:val="24"/>
          <w:lang w:eastAsia="ru-RU"/>
        </w:rPr>
        <w:br/>
        <w:t>     - 19 предприятий (13%) функционируют в зданиях деревянного исполнения;</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- 29 предприятий (19%) прочие (передвижные вагоны, тонары, в корпусе катера и ж/д вагона).</w:t>
      </w:r>
      <w:r w:rsidRPr="001735EC">
        <w:rPr>
          <w:rFonts w:ascii="Times New Roman" w:eastAsia="Times New Roman" w:hAnsi="Times New Roman" w:cs="Times New Roman"/>
          <w:sz w:val="24"/>
          <w:szCs w:val="24"/>
          <w:lang w:eastAsia="ru-RU"/>
        </w:rPr>
        <w:br/>
        <w:t>     60 предприятий общественного питания или 40% от общего количества расположены в типовых помещениях, 90 предприятий или 60% в приспособленных помещениях.</w:t>
      </w:r>
      <w:r w:rsidRPr="001735EC">
        <w:rPr>
          <w:rFonts w:ascii="Times New Roman" w:eastAsia="Times New Roman" w:hAnsi="Times New Roman" w:cs="Times New Roman"/>
          <w:sz w:val="24"/>
          <w:szCs w:val="24"/>
          <w:lang w:eastAsia="ru-RU"/>
        </w:rPr>
        <w:br/>
        <w:t>     Общий процент износа всех зданий предприятий общественного питания составляет - 52%.</w:t>
      </w:r>
      <w:r w:rsidRPr="001735EC">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в городе начинают развиваться услуги дополнительного сервиса по предоставлению услуг общественного питания:</w:t>
      </w:r>
      <w:r w:rsidRPr="001735EC">
        <w:rPr>
          <w:rFonts w:ascii="Times New Roman" w:eastAsia="Times New Roman" w:hAnsi="Times New Roman" w:cs="Times New Roman"/>
          <w:sz w:val="24"/>
          <w:szCs w:val="24"/>
          <w:lang w:eastAsia="ru-RU"/>
        </w:rPr>
        <w:br/>
        <w:t>     - доставка блюд и кулинарной продукции по заказам потребителей;</w:t>
      </w:r>
      <w:r w:rsidRPr="001735EC">
        <w:rPr>
          <w:rFonts w:ascii="Times New Roman" w:eastAsia="Times New Roman" w:hAnsi="Times New Roman" w:cs="Times New Roman"/>
          <w:sz w:val="24"/>
          <w:szCs w:val="24"/>
          <w:lang w:eastAsia="ru-RU"/>
        </w:rPr>
        <w:br/>
        <w:t>     - обеспечение офисов различных предприятий горячими обедами, заказ которых может осуществляться через Интернет или по телефону;</w:t>
      </w:r>
      <w:r w:rsidRPr="001735EC">
        <w:rPr>
          <w:rFonts w:ascii="Times New Roman" w:eastAsia="Times New Roman" w:hAnsi="Times New Roman" w:cs="Times New Roman"/>
          <w:sz w:val="24"/>
          <w:szCs w:val="24"/>
          <w:lang w:eastAsia="ru-RU"/>
        </w:rPr>
        <w:br/>
        <w:t>     - организация и обеспечение диетическим питанием рабочих и служащих.</w:t>
      </w:r>
      <w:r w:rsidRPr="001735EC">
        <w:rPr>
          <w:rFonts w:ascii="Times New Roman" w:eastAsia="Times New Roman" w:hAnsi="Times New Roman" w:cs="Times New Roman"/>
          <w:sz w:val="24"/>
          <w:szCs w:val="24"/>
          <w:lang w:eastAsia="ru-RU"/>
        </w:rPr>
        <w:br/>
        <w:t>     </w:t>
      </w:r>
    </w:p>
    <w:p w:rsidR="001735EC" w:rsidRPr="001735EC" w:rsidRDefault="001735EC" w:rsidP="001735EC">
      <w:pPr>
        <w:spacing w:before="100" w:beforeAutospacing="1" w:after="240" w:line="240" w:lineRule="auto"/>
        <w:jc w:val="center"/>
        <w:rPr>
          <w:rFonts w:ascii="Times New Roman" w:eastAsia="Times New Roman" w:hAnsi="Times New Roman" w:cs="Times New Roman"/>
          <w:sz w:val="24"/>
          <w:szCs w:val="24"/>
          <w:lang w:eastAsia="ru-RU"/>
        </w:rPr>
      </w:pPr>
      <w:r w:rsidRPr="001735EC">
        <w:rPr>
          <w:rFonts w:ascii="Times New Roman" w:eastAsia="Times New Roman" w:hAnsi="Times New Roman" w:cs="Times New Roman"/>
          <w:i/>
          <w:iCs/>
          <w:sz w:val="24"/>
          <w:szCs w:val="24"/>
          <w:lang w:eastAsia="ru-RU"/>
        </w:rPr>
        <w:t>Платные услуги</w:t>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Общий объём платных услуг населению, по предварительной оценке, за январь - март 2010 года составил 585,6 млн. рублей, или 101,6% в сопоставимых ценах к аналогичному периоду прошлого года.</w:t>
      </w:r>
      <w:r w:rsidRPr="001735EC">
        <w:rPr>
          <w:rFonts w:ascii="Times New Roman" w:eastAsia="Times New Roman" w:hAnsi="Times New Roman" w:cs="Times New Roman"/>
          <w:sz w:val="24"/>
          <w:szCs w:val="24"/>
          <w:lang w:eastAsia="ru-RU"/>
        </w:rPr>
        <w:br/>
        <w:t>    </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noProof/>
          <w:sz w:val="24"/>
          <w:szCs w:val="24"/>
          <w:lang w:eastAsia="ru-RU"/>
        </w:rPr>
        <w:drawing>
          <wp:inline distT="0" distB="0" distL="0" distR="0">
            <wp:extent cx="6057900" cy="2636520"/>
            <wp:effectExtent l="0" t="0" r="0" b="0"/>
            <wp:docPr id="1" name="Рисунок 1" descr="http://old.admkogalym.ru/SetPict.gif?nd=458202900&amp;nh=0&amp;pictid=010000001K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kogalym.ru/SetPict.gif?nd=458202900&amp;nh=0&amp;pictid=010000001K00&amp;abs=&amp;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2636520"/>
                    </a:xfrm>
                    <a:prstGeom prst="rect">
                      <a:avLst/>
                    </a:prstGeom>
                    <a:noFill/>
                    <a:ln>
                      <a:noFill/>
                    </a:ln>
                  </pic:spPr>
                </pic:pic>
              </a:graphicData>
            </a:graphic>
          </wp:inline>
        </w:drawing>
      </w:r>
    </w:p>
    <w:p w:rsidR="001735EC" w:rsidRPr="001735EC" w:rsidRDefault="001735EC" w:rsidP="001735EC">
      <w:pPr>
        <w:spacing w:before="100" w:beforeAutospacing="1" w:after="100" w:afterAutospacing="1" w:line="240" w:lineRule="auto"/>
        <w:rPr>
          <w:rFonts w:ascii="Times New Roman" w:eastAsia="Times New Roman" w:hAnsi="Times New Roman" w:cs="Times New Roman"/>
          <w:sz w:val="24"/>
          <w:szCs w:val="24"/>
          <w:lang w:eastAsia="ru-RU"/>
        </w:rPr>
      </w:pPr>
      <w:r w:rsidRPr="001735EC">
        <w:rPr>
          <w:rFonts w:ascii="Times New Roman" w:eastAsia="Times New Roman" w:hAnsi="Times New Roman" w:cs="Times New Roman"/>
          <w:sz w:val="24"/>
          <w:szCs w:val="24"/>
          <w:lang w:eastAsia="ru-RU"/>
        </w:rPr>
        <w:t>      </w:t>
      </w:r>
      <w:r w:rsidRPr="001735EC">
        <w:rPr>
          <w:rFonts w:ascii="Times New Roman" w:eastAsia="Times New Roman" w:hAnsi="Times New Roman" w:cs="Times New Roman"/>
          <w:sz w:val="24"/>
          <w:szCs w:val="24"/>
          <w:lang w:eastAsia="ru-RU"/>
        </w:rPr>
        <w:br/>
        <w:t>     В расчёте на одного жителя оказано услуг на сумму 9,8 тыс. рублей (в январе - марте 2009 года - 9,1 тыс. рублей), что в сопоставимых ценах выше соответствующего периода прошлого года на 0,9%.</w:t>
      </w:r>
      <w:r w:rsidRPr="001735EC">
        <w:rPr>
          <w:rFonts w:ascii="Times New Roman" w:eastAsia="Times New Roman" w:hAnsi="Times New Roman" w:cs="Times New Roman"/>
          <w:sz w:val="24"/>
          <w:szCs w:val="24"/>
          <w:lang w:eastAsia="ru-RU"/>
        </w:rPr>
        <w:br/>
        <w:t>     Несмотря на различные тенденции развития отдельных видов услуг, структура платных услуг не претерпела существенных изменений.</w:t>
      </w:r>
      <w:r w:rsidRPr="001735EC">
        <w:rPr>
          <w:rFonts w:ascii="Times New Roman" w:eastAsia="Times New Roman" w:hAnsi="Times New Roman" w:cs="Times New Roman"/>
          <w:sz w:val="24"/>
          <w:szCs w:val="24"/>
          <w:lang w:eastAsia="ru-RU"/>
        </w:rPr>
        <w:br/>
        <w:t xml:space="preserve">     По - прежнему около 80% от общего объёма платных услуг приходится на услуги «обязательного характера» (жилищно - коммунальные услуги, услуги связи и отдельные виды бытовых услуг). </w:t>
      </w:r>
      <w:r w:rsidRPr="001735EC">
        <w:rPr>
          <w:rFonts w:ascii="Times New Roman" w:eastAsia="Times New Roman" w:hAnsi="Times New Roman" w:cs="Times New Roman"/>
          <w:sz w:val="24"/>
          <w:szCs w:val="24"/>
          <w:lang w:eastAsia="ru-RU"/>
        </w:rPr>
        <w:br/>
        <w:t>     Услуги культуры, медицинские и услуги образования имеют стабильные темпы развития, но их доля в общем объёме изменяется незначительно.</w:t>
      </w:r>
      <w:r w:rsidRPr="001735EC">
        <w:rPr>
          <w:rFonts w:ascii="Times New Roman" w:eastAsia="Times New Roman" w:hAnsi="Times New Roman" w:cs="Times New Roman"/>
          <w:sz w:val="24"/>
          <w:szCs w:val="24"/>
          <w:lang w:eastAsia="ru-RU"/>
        </w:rPr>
        <w:br/>
        <w:t>     Сохраняется интерес и к потреблению отдельных видов бытовых услуг, объём которых, по предварительной оценке,  составил 49,6 млн. рублей, или 100,7% в сопоставимых ценах к соответствующему периоду прошлого года.</w:t>
      </w:r>
      <w:r w:rsidRPr="001735EC">
        <w:rPr>
          <w:rFonts w:ascii="Times New Roman" w:eastAsia="Times New Roman" w:hAnsi="Times New Roman" w:cs="Times New Roman"/>
          <w:sz w:val="24"/>
          <w:szCs w:val="24"/>
          <w:lang w:eastAsia="ru-RU"/>
        </w:rPr>
        <w:br/>
      </w:r>
      <w:r w:rsidRPr="001735EC">
        <w:rPr>
          <w:rFonts w:ascii="Times New Roman" w:eastAsia="Times New Roman" w:hAnsi="Times New Roman" w:cs="Times New Roman"/>
          <w:sz w:val="24"/>
          <w:szCs w:val="24"/>
          <w:lang w:eastAsia="ru-RU"/>
        </w:rPr>
        <w:lastRenderedPageBreak/>
        <w:t>     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C"/>
    <w:rsid w:val="001735EC"/>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3BA9-9BD6-4A9D-BC50-6D679DBC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8157</Words>
  <Characters>46498</Characters>
  <Application>Microsoft Office Word</Application>
  <DocSecurity>0</DocSecurity>
  <Lines>387</Lines>
  <Paragraphs>109</Paragraphs>
  <ScaleCrop>false</ScaleCrop>
  <Company/>
  <LinksUpToDate>false</LinksUpToDate>
  <CharactersWithSpaces>54546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2014-11-14T04:42:00Z</dcterms:created>
  <dcterms:modified xsi:type="dcterms:W3CDTF">2014-11-14T04:43:00Z</dcterms:modified>
</cp:coreProperties>
</file>